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pStyle w:val="2"/>
        <w:keepNext w:val="0"/>
        <w:keepLines w:val="0"/>
        <w:spacing w:before="240" w:after="0" w:line="240" w:lineRule="auto"/>
        <w:jc w:val="center"/>
        <w:rPr>
          <w:rFonts w:hint="eastAsia" w:ascii="仿宋" w:hAnsi="仿宋" w:eastAsia="仿宋" w:cs="Times New Roman"/>
          <w:color w:val="000000"/>
          <w:kern w:val="2"/>
          <w:sz w:val="30"/>
          <w:szCs w:val="30"/>
          <w:lang w:val="en-US" w:eastAsia="zh-CN" w:bidi="ar-SA"/>
        </w:rPr>
      </w:pPr>
    </w:p>
    <w:p>
      <w:pPr>
        <w:jc w:val="center"/>
        <w:rPr>
          <w:rFonts w:hint="eastAsia" w:ascii="仿宋" w:hAnsi="仿宋" w:eastAsia="仿宋" w:cs="Times New Roman"/>
          <w:b/>
          <w:bCs/>
          <w:color w:val="000000"/>
          <w:kern w:val="2"/>
          <w:sz w:val="32"/>
          <w:szCs w:val="32"/>
          <w:lang w:val="en-US" w:eastAsia="zh-CN" w:bidi="ar-SA"/>
        </w:rPr>
      </w:pPr>
      <w:r>
        <w:rPr>
          <w:rFonts w:hint="eastAsia" w:ascii="仿宋" w:hAnsi="仿宋" w:eastAsia="仿宋" w:cs="Times New Roman"/>
          <w:b/>
          <w:bCs/>
          <w:color w:val="000000"/>
          <w:kern w:val="2"/>
          <w:sz w:val="32"/>
          <w:szCs w:val="32"/>
          <w:lang w:val="en-US" w:eastAsia="zh-CN" w:bidi="ar-SA"/>
        </w:rPr>
        <w:t>《全球地理信息资源 地表覆盖数据生产技术规范》</w:t>
      </w:r>
    </w:p>
    <w:p>
      <w:pPr>
        <w:jc w:val="center"/>
        <w:rPr>
          <w:rFonts w:hint="eastAsia" w:ascii="仿宋" w:hAnsi="仿宋" w:eastAsia="仿宋" w:cs="Times New Roman"/>
          <w:b/>
          <w:bCs/>
          <w:color w:val="000000"/>
          <w:kern w:val="2"/>
          <w:sz w:val="32"/>
          <w:szCs w:val="32"/>
          <w:lang w:val="en-US" w:eastAsia="zh-CN" w:bidi="ar-SA"/>
        </w:rPr>
      </w:pPr>
      <w:r>
        <w:rPr>
          <w:rFonts w:hint="eastAsia" w:ascii="仿宋" w:hAnsi="仿宋" w:eastAsia="仿宋" w:cs="Times New Roman"/>
          <w:b/>
          <w:bCs/>
          <w:color w:val="000000"/>
          <w:kern w:val="2"/>
          <w:sz w:val="32"/>
          <w:szCs w:val="32"/>
          <w:lang w:val="en-US" w:eastAsia="zh-CN" w:bidi="ar-SA"/>
        </w:rPr>
        <w:t>（征求意见稿）编制说明</w:t>
      </w: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spacing w:after="312" w:afterLines="100"/>
        <w:ind w:firstLine="606" w:firstLineChars="202"/>
        <w:rPr>
          <w:rFonts w:hint="eastAsia" w:ascii="仿宋" w:hAnsi="仿宋" w:eastAsia="仿宋" w:cs="Times New Roman"/>
          <w:color w:val="000000"/>
          <w:spacing w:val="-20"/>
          <w:kern w:val="2"/>
          <w:sz w:val="30"/>
          <w:szCs w:val="30"/>
          <w:lang w:val="en-US" w:eastAsia="zh-CN" w:bidi="ar-SA"/>
        </w:rPr>
      </w:pPr>
      <w:r>
        <w:rPr>
          <w:rFonts w:hint="eastAsia" w:ascii="仿宋" w:hAnsi="仿宋" w:eastAsia="仿宋" w:cs="Times New Roman"/>
          <w:color w:val="000000"/>
          <w:kern w:val="2"/>
          <w:sz w:val="30"/>
          <w:szCs w:val="30"/>
          <w:lang w:val="en-US" w:eastAsia="zh-CN" w:bidi="ar-SA"/>
        </w:rPr>
        <w:t>行业标准项目名称：</w:t>
      </w:r>
      <w:r>
        <w:rPr>
          <w:rFonts w:hint="eastAsia" w:ascii="仿宋" w:hAnsi="仿宋" w:eastAsia="仿宋" w:cs="Times New Roman"/>
          <w:color w:val="000000"/>
          <w:spacing w:val="-20"/>
          <w:kern w:val="2"/>
          <w:sz w:val="30"/>
          <w:szCs w:val="30"/>
          <w:u w:val="single"/>
          <w:lang w:val="en-US" w:eastAsia="zh-CN" w:bidi="ar-SA"/>
        </w:rPr>
        <w:t xml:space="preserve">全球地理信息资源地表覆盖数据生产技术规范  </w:t>
      </w:r>
      <w:r>
        <w:rPr>
          <w:rFonts w:hint="eastAsia" w:ascii="仿宋" w:hAnsi="仿宋" w:eastAsia="仿宋" w:cs="Times New Roman"/>
          <w:color w:val="000000"/>
          <w:spacing w:val="-20"/>
          <w:kern w:val="2"/>
          <w:sz w:val="30"/>
          <w:szCs w:val="30"/>
          <w:lang w:val="en-US" w:eastAsia="zh-CN" w:bidi="ar-SA"/>
        </w:rPr>
        <w:t xml:space="preserve">  </w:t>
      </w:r>
    </w:p>
    <w:p>
      <w:pPr>
        <w:spacing w:after="312" w:afterLines="100"/>
        <w:ind w:firstLine="606" w:firstLineChars="202"/>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行业标准项目编号：</w:t>
      </w:r>
      <w:r>
        <w:rPr>
          <w:rFonts w:hint="eastAsia" w:ascii="仿宋" w:hAnsi="仿宋" w:eastAsia="仿宋" w:cs="Times New Roman"/>
          <w:color w:val="000000"/>
          <w:kern w:val="2"/>
          <w:sz w:val="30"/>
          <w:szCs w:val="30"/>
          <w:u w:val="single"/>
          <w:lang w:val="en-US" w:eastAsia="zh-CN" w:bidi="ar-SA"/>
        </w:rPr>
        <w:t xml:space="preserve">     202232003                         </w:t>
      </w:r>
      <w:r>
        <w:rPr>
          <w:rFonts w:hint="eastAsia" w:ascii="仿宋" w:hAnsi="仿宋" w:eastAsia="仿宋" w:cs="Times New Roman"/>
          <w:color w:val="000000"/>
          <w:kern w:val="2"/>
          <w:sz w:val="30"/>
          <w:szCs w:val="30"/>
          <w:lang w:val="en-US" w:eastAsia="zh-CN" w:bidi="ar-SA"/>
        </w:rPr>
        <w:t xml:space="preserve">                                </w:t>
      </w:r>
    </w:p>
    <w:p>
      <w:pPr>
        <w:ind w:firstLine="606" w:firstLineChars="202"/>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送审国家标准名称：</w:t>
      </w:r>
      <w:r>
        <w:rPr>
          <w:rFonts w:hint="eastAsia" w:ascii="仿宋" w:hAnsi="仿宋" w:eastAsia="仿宋" w:cs="Times New Roman"/>
          <w:color w:val="000000"/>
          <w:kern w:val="2"/>
          <w:sz w:val="30"/>
          <w:szCs w:val="30"/>
          <w:u w:val="single"/>
          <w:lang w:val="en-US" w:eastAsia="zh-CN" w:bidi="ar-SA"/>
        </w:rPr>
        <w:t xml:space="preserve">                                       </w:t>
      </w:r>
      <w:r>
        <w:rPr>
          <w:rFonts w:hint="eastAsia" w:ascii="仿宋" w:hAnsi="仿宋" w:eastAsia="仿宋" w:cs="Times New Roman"/>
          <w:color w:val="000000"/>
          <w:kern w:val="2"/>
          <w:sz w:val="30"/>
          <w:szCs w:val="30"/>
          <w:lang w:val="en-US" w:eastAsia="zh-CN" w:bidi="ar-SA"/>
        </w:rPr>
        <w:t xml:space="preserve">                                               </w:t>
      </w:r>
    </w:p>
    <w:p>
      <w:pPr>
        <w:ind w:firstLine="606" w:firstLineChars="202"/>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（此栏送审时填写）</w:t>
      </w:r>
    </w:p>
    <w:p>
      <w:pPr>
        <w:ind w:firstLine="606" w:firstLineChars="202"/>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报批国家标准名称：</w:t>
      </w:r>
      <w:r>
        <w:rPr>
          <w:rFonts w:hint="eastAsia" w:ascii="仿宋" w:hAnsi="仿宋" w:eastAsia="仿宋" w:cs="Times New Roman"/>
          <w:color w:val="000000"/>
          <w:kern w:val="2"/>
          <w:sz w:val="30"/>
          <w:szCs w:val="30"/>
          <w:u w:val="single"/>
          <w:lang w:val="en-US" w:eastAsia="zh-CN" w:bidi="ar-SA"/>
        </w:rPr>
        <w:t xml:space="preserve">                                       </w:t>
      </w:r>
      <w:r>
        <w:rPr>
          <w:rFonts w:hint="eastAsia" w:ascii="仿宋" w:hAnsi="仿宋" w:eastAsia="仿宋" w:cs="Times New Roman"/>
          <w:color w:val="000000"/>
          <w:kern w:val="2"/>
          <w:sz w:val="30"/>
          <w:szCs w:val="30"/>
          <w:lang w:val="en-US" w:eastAsia="zh-CN" w:bidi="ar-SA"/>
        </w:rPr>
        <w:t xml:space="preserve">                                               </w:t>
      </w:r>
    </w:p>
    <w:p>
      <w:pPr>
        <w:spacing w:after="312" w:afterLines="100"/>
        <w:ind w:firstLine="606" w:firstLineChars="202"/>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（此栏报批时填写）</w:t>
      </w:r>
    </w:p>
    <w:p>
      <w:pPr>
        <w:spacing w:after="312" w:afterLines="100"/>
        <w:ind w:firstLine="606" w:firstLineChars="202"/>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承担单位： </w:t>
      </w:r>
      <w:r>
        <w:rPr>
          <w:rFonts w:hint="eastAsia" w:ascii="仿宋" w:hAnsi="仿宋" w:eastAsia="仿宋" w:cs="Times New Roman"/>
          <w:color w:val="000000"/>
          <w:kern w:val="2"/>
          <w:sz w:val="30"/>
          <w:szCs w:val="30"/>
          <w:u w:val="single"/>
          <w:lang w:val="en-US" w:eastAsia="zh-CN" w:bidi="ar-SA"/>
        </w:rPr>
        <w:t xml:space="preserve">   国家基础地理信息中心                      </w:t>
      </w:r>
      <w:r>
        <w:rPr>
          <w:rFonts w:hint="eastAsia" w:ascii="仿宋" w:hAnsi="仿宋" w:eastAsia="仿宋" w:cs="Times New Roman"/>
          <w:color w:val="000000"/>
          <w:kern w:val="2"/>
          <w:sz w:val="30"/>
          <w:szCs w:val="30"/>
          <w:lang w:val="en-US" w:eastAsia="zh-CN" w:bidi="ar-SA"/>
        </w:rPr>
        <w:t xml:space="preserve">        </w:t>
      </w:r>
    </w:p>
    <w:p>
      <w:pPr>
        <w:ind w:firstLine="606" w:firstLineChars="202"/>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当前阶段：  </w:t>
      </w:r>
      <w:r>
        <w:rPr>
          <w:rFonts w:hint="eastAsia" w:ascii="仿宋" w:hAnsi="仿宋" w:eastAsia="仿宋" w:cs="Times New Roman"/>
          <w:color w:val="000000"/>
          <w:kern w:val="2"/>
          <w:sz w:val="30"/>
          <w:szCs w:val="30"/>
          <w:lang w:val="en-US" w:eastAsia="zh-CN" w:bidi="ar-SA"/>
        </w:rPr>
        <w:sym w:font="Wingdings" w:char="F0FE"/>
      </w:r>
      <w:r>
        <w:rPr>
          <w:rFonts w:hint="eastAsia" w:ascii="仿宋" w:hAnsi="仿宋" w:eastAsia="仿宋" w:cs="Times New Roman"/>
          <w:color w:val="000000"/>
          <w:kern w:val="2"/>
          <w:sz w:val="30"/>
          <w:szCs w:val="30"/>
          <w:lang w:val="en-US" w:eastAsia="zh-CN" w:bidi="ar-SA"/>
        </w:rPr>
        <w:t xml:space="preserve">征求意见         □送审稿审查      □报批稿报批 </w:t>
      </w:r>
    </w:p>
    <w:p>
      <w:pPr>
        <w:jc w:val="center"/>
        <w:rPr>
          <w:rFonts w:hint="eastAsia" w:ascii="仿宋" w:hAnsi="仿宋" w:eastAsia="仿宋" w:cs="Times New Roman"/>
          <w:color w:val="000000"/>
          <w:kern w:val="2"/>
          <w:sz w:val="30"/>
          <w:szCs w:val="30"/>
          <w:lang w:val="en-US" w:eastAsia="zh-CN" w:bidi="ar-SA"/>
        </w:rPr>
      </w:pPr>
    </w:p>
    <w:p>
      <w:pPr>
        <w:jc w:val="center"/>
        <w:rPr>
          <w:rFonts w:hint="eastAsia" w:ascii="仿宋" w:hAnsi="仿宋" w:eastAsia="仿宋" w:cs="Times New Roman"/>
          <w:color w:val="000000"/>
          <w:kern w:val="2"/>
          <w:sz w:val="30"/>
          <w:szCs w:val="30"/>
          <w:lang w:val="en-US" w:eastAsia="zh-CN" w:bidi="ar-SA"/>
        </w:rPr>
      </w:pPr>
    </w:p>
    <w:p>
      <w:pPr>
        <w:ind w:left="-2" w:leftChars="-1" w:firstLine="2430" w:firstLineChars="810"/>
        <w:jc w:val="left"/>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编制时间：       2023 年12月       </w:t>
      </w:r>
    </w:p>
    <w:p>
      <w:pPr>
        <w:ind w:left="-2" w:leftChars="-1" w:firstLine="2430" w:firstLineChars="810"/>
        <w:jc w:val="left"/>
        <w:rPr>
          <w:rFonts w:hint="eastAsia" w:ascii="仿宋" w:hAnsi="仿宋" w:eastAsia="仿宋" w:cs="Times New Roman"/>
          <w:color w:val="000000"/>
          <w:kern w:val="2"/>
          <w:sz w:val="30"/>
          <w:szCs w:val="30"/>
          <w:lang w:val="en-US" w:eastAsia="zh-CN" w:bidi="ar-SA"/>
        </w:rPr>
      </w:pPr>
    </w:p>
    <w:p>
      <w:pPr>
        <w:ind w:left="-2" w:leftChars="-1" w:firstLine="2430" w:firstLineChars="810"/>
        <w:jc w:val="left"/>
        <w:rPr>
          <w:rFonts w:hint="eastAsia" w:ascii="仿宋" w:hAnsi="仿宋" w:eastAsia="仿宋" w:cs="Times New Roman"/>
          <w:color w:val="000000"/>
          <w:kern w:val="2"/>
          <w:sz w:val="30"/>
          <w:szCs w:val="30"/>
          <w:lang w:val="en-US" w:eastAsia="zh-CN" w:bidi="ar-SA"/>
        </w:rPr>
      </w:pPr>
    </w:p>
    <w:sdt>
      <w:sdtPr>
        <w:rPr>
          <w:rFonts w:ascii="宋体" w:hAnsi="宋体" w:eastAsia="宋体" w:cstheme="minorBidi"/>
          <w:b/>
          <w:bCs/>
          <w:kern w:val="2"/>
          <w:sz w:val="28"/>
          <w:szCs w:val="32"/>
          <w:lang w:val="en-US" w:eastAsia="zh-CN" w:bidi="ar-SA"/>
        </w:rPr>
        <w:id w:val="147462276"/>
        <w15:color w:val="DBDBDB"/>
        <w:docPartObj>
          <w:docPartGallery w:val="Table of Contents"/>
          <w:docPartUnique/>
        </w:docPartObj>
      </w:sdtPr>
      <w:sdtEndPr>
        <w:rPr>
          <w:rFonts w:hint="eastAsia" w:ascii="仿宋" w:hAnsi="仿宋" w:eastAsia="仿宋" w:cs="Times New Roman"/>
          <w:b/>
          <w:bCs/>
          <w:color w:val="000000"/>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b/>
              <w:bCs/>
              <w:sz w:val="28"/>
              <w:szCs w:val="32"/>
            </w:rPr>
          </w:pPr>
          <w:r>
            <w:rPr>
              <w:rFonts w:ascii="宋体" w:hAnsi="宋体" w:eastAsia="宋体"/>
              <w:b/>
              <w:bCs/>
              <w:sz w:val="28"/>
              <w:szCs w:val="32"/>
            </w:rPr>
            <w:t>目</w:t>
          </w:r>
          <w:r>
            <w:rPr>
              <w:rFonts w:hint="eastAsia" w:ascii="宋体" w:hAnsi="宋体" w:eastAsia="宋体"/>
              <w:b/>
              <w:bCs/>
              <w:sz w:val="28"/>
              <w:szCs w:val="32"/>
              <w:lang w:val="en-US" w:eastAsia="zh-CN"/>
            </w:rPr>
            <w:t xml:space="preserve">  </w:t>
          </w:r>
          <w:r>
            <w:rPr>
              <w:rFonts w:ascii="宋体" w:hAnsi="宋体" w:eastAsia="宋体"/>
              <w:b/>
              <w:bCs/>
              <w:sz w:val="28"/>
              <w:szCs w:val="32"/>
            </w:rPr>
            <w:t>录</w:t>
          </w:r>
        </w:p>
        <w:p>
          <w:pPr>
            <w:pStyle w:val="7"/>
            <w:tabs>
              <w:tab w:val="right" w:leader="dot" w:pos="9638"/>
            </w:tabs>
            <w:rPr>
              <w:sz w:val="28"/>
              <w:szCs w:val="32"/>
            </w:rPr>
          </w:pPr>
          <w:r>
            <w:rPr>
              <w:rFonts w:hint="eastAsia" w:ascii="仿宋" w:hAnsi="仿宋" w:eastAsia="仿宋" w:cs="Times New Roman"/>
              <w:b/>
              <w:bCs/>
              <w:color w:val="000000"/>
              <w:kern w:val="2"/>
              <w:sz w:val="44"/>
              <w:szCs w:val="44"/>
              <w:lang w:val="en-US" w:eastAsia="zh-CN" w:bidi="ar-SA"/>
            </w:rPr>
            <w:fldChar w:fldCharType="begin"/>
          </w:r>
          <w:r>
            <w:rPr>
              <w:rFonts w:hint="eastAsia" w:ascii="仿宋" w:hAnsi="仿宋" w:eastAsia="仿宋" w:cs="Times New Roman"/>
              <w:b/>
              <w:bCs/>
              <w:color w:val="000000"/>
              <w:kern w:val="2"/>
              <w:sz w:val="44"/>
              <w:szCs w:val="44"/>
              <w:lang w:val="en-US" w:eastAsia="zh-CN" w:bidi="ar-SA"/>
            </w:rPr>
            <w:instrText xml:space="preserve">TOC \o "1-3" \h \u </w:instrText>
          </w:r>
          <w:r>
            <w:rPr>
              <w:rFonts w:hint="eastAsia" w:ascii="仿宋" w:hAnsi="仿宋" w:eastAsia="仿宋" w:cs="Times New Roman"/>
              <w:b/>
              <w:bCs/>
              <w:color w:val="000000"/>
              <w:kern w:val="2"/>
              <w:sz w:val="44"/>
              <w:szCs w:val="44"/>
              <w:lang w:val="en-US" w:eastAsia="zh-CN" w:bidi="ar-SA"/>
            </w:rPr>
            <w:fldChar w:fldCharType="separate"/>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_Toc26360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一、工作简况</w:t>
          </w:r>
          <w:r>
            <w:rPr>
              <w:sz w:val="28"/>
              <w:szCs w:val="32"/>
            </w:rPr>
            <w:tab/>
          </w:r>
          <w:r>
            <w:rPr>
              <w:sz w:val="28"/>
              <w:szCs w:val="32"/>
            </w:rPr>
            <w:fldChar w:fldCharType="begin"/>
          </w:r>
          <w:r>
            <w:rPr>
              <w:sz w:val="28"/>
              <w:szCs w:val="32"/>
            </w:rPr>
            <w:instrText xml:space="preserve"> PAGEREF _Toc26360 \h </w:instrText>
          </w:r>
          <w:r>
            <w:rPr>
              <w:sz w:val="28"/>
              <w:szCs w:val="32"/>
            </w:rPr>
            <w:fldChar w:fldCharType="separate"/>
          </w:r>
          <w:r>
            <w:rPr>
              <w:sz w:val="28"/>
              <w:szCs w:val="32"/>
            </w:rPr>
            <w:t>2</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_Toc9992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二、标准编制原则和确定国家标准主要内容的论据</w:t>
          </w:r>
          <w:r>
            <w:rPr>
              <w:sz w:val="28"/>
              <w:szCs w:val="32"/>
            </w:rPr>
            <w:tab/>
          </w:r>
          <w:r>
            <w:rPr>
              <w:sz w:val="28"/>
              <w:szCs w:val="32"/>
            </w:rPr>
            <w:fldChar w:fldCharType="begin"/>
          </w:r>
          <w:r>
            <w:rPr>
              <w:sz w:val="28"/>
              <w:szCs w:val="32"/>
            </w:rPr>
            <w:instrText xml:space="preserve"> PAGEREF _Toc9992 \h </w:instrText>
          </w:r>
          <w:r>
            <w:rPr>
              <w:sz w:val="28"/>
              <w:szCs w:val="32"/>
            </w:rPr>
            <w:fldChar w:fldCharType="separate"/>
          </w:r>
          <w:r>
            <w:rPr>
              <w:sz w:val="28"/>
              <w:szCs w:val="32"/>
            </w:rPr>
            <w:t>6</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_Toc31982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三、验证试验的情况和结果</w:t>
          </w:r>
          <w:r>
            <w:rPr>
              <w:sz w:val="28"/>
              <w:szCs w:val="32"/>
            </w:rPr>
            <w:tab/>
          </w:r>
          <w:r>
            <w:rPr>
              <w:sz w:val="28"/>
              <w:szCs w:val="32"/>
            </w:rPr>
            <w:fldChar w:fldCharType="begin"/>
          </w:r>
          <w:r>
            <w:rPr>
              <w:sz w:val="28"/>
              <w:szCs w:val="32"/>
            </w:rPr>
            <w:instrText xml:space="preserve"> PAGEREF _Toc31982 \h </w:instrText>
          </w:r>
          <w:r>
            <w:rPr>
              <w:sz w:val="28"/>
              <w:szCs w:val="32"/>
            </w:rPr>
            <w:fldChar w:fldCharType="separate"/>
          </w:r>
          <w:r>
            <w:rPr>
              <w:sz w:val="28"/>
              <w:szCs w:val="32"/>
            </w:rPr>
            <w:t>7</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_Toc18407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四、采用国际标准和国外先进标准的程度，以及与国际、国外同类标准水平的对比情况，或与测试的国外样品、样机的有关数据对比情况</w:t>
          </w:r>
          <w:r>
            <w:rPr>
              <w:sz w:val="28"/>
              <w:szCs w:val="32"/>
            </w:rPr>
            <w:tab/>
          </w:r>
          <w:r>
            <w:rPr>
              <w:sz w:val="28"/>
              <w:szCs w:val="32"/>
            </w:rPr>
            <w:fldChar w:fldCharType="begin"/>
          </w:r>
          <w:r>
            <w:rPr>
              <w:sz w:val="28"/>
              <w:szCs w:val="32"/>
            </w:rPr>
            <w:instrText xml:space="preserve"> PAGEREF _Toc18407 \h </w:instrText>
          </w:r>
          <w:r>
            <w:rPr>
              <w:sz w:val="28"/>
              <w:szCs w:val="32"/>
            </w:rPr>
            <w:fldChar w:fldCharType="separate"/>
          </w:r>
          <w:r>
            <w:rPr>
              <w:sz w:val="28"/>
              <w:szCs w:val="32"/>
            </w:rPr>
            <w:t>24</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_Toc5164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五、与有关的现行法律、法规和强制性国家标准的关系</w:t>
          </w:r>
          <w:r>
            <w:rPr>
              <w:sz w:val="28"/>
              <w:szCs w:val="32"/>
            </w:rPr>
            <w:tab/>
          </w:r>
          <w:r>
            <w:rPr>
              <w:sz w:val="28"/>
              <w:szCs w:val="32"/>
            </w:rPr>
            <w:fldChar w:fldCharType="begin"/>
          </w:r>
          <w:r>
            <w:rPr>
              <w:sz w:val="28"/>
              <w:szCs w:val="32"/>
            </w:rPr>
            <w:instrText xml:space="preserve"> PAGEREF _Toc5164 \h </w:instrText>
          </w:r>
          <w:r>
            <w:rPr>
              <w:sz w:val="28"/>
              <w:szCs w:val="32"/>
            </w:rPr>
            <w:fldChar w:fldCharType="separate"/>
          </w:r>
          <w:r>
            <w:rPr>
              <w:sz w:val="28"/>
              <w:szCs w:val="32"/>
            </w:rPr>
            <w:t>24</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_Toc11839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六、重大分歧意见的处理经过和依据</w:t>
          </w:r>
          <w:r>
            <w:rPr>
              <w:sz w:val="28"/>
              <w:szCs w:val="32"/>
            </w:rPr>
            <w:tab/>
          </w:r>
          <w:r>
            <w:rPr>
              <w:sz w:val="28"/>
              <w:szCs w:val="32"/>
            </w:rPr>
            <w:fldChar w:fldCharType="begin"/>
          </w:r>
          <w:r>
            <w:rPr>
              <w:sz w:val="28"/>
              <w:szCs w:val="32"/>
            </w:rPr>
            <w:instrText xml:space="preserve"> PAGEREF _Toc11839 \h </w:instrText>
          </w:r>
          <w:r>
            <w:rPr>
              <w:sz w:val="28"/>
              <w:szCs w:val="32"/>
            </w:rPr>
            <w:fldChar w:fldCharType="separate"/>
          </w:r>
          <w:r>
            <w:rPr>
              <w:sz w:val="28"/>
              <w:szCs w:val="32"/>
            </w:rPr>
            <w:t>24</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_Toc4109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七、废止现行有关标准的建议</w:t>
          </w:r>
          <w:r>
            <w:rPr>
              <w:sz w:val="28"/>
              <w:szCs w:val="32"/>
            </w:rPr>
            <w:tab/>
          </w:r>
          <w:r>
            <w:rPr>
              <w:sz w:val="28"/>
              <w:szCs w:val="32"/>
            </w:rPr>
            <w:fldChar w:fldCharType="begin"/>
          </w:r>
          <w:r>
            <w:rPr>
              <w:sz w:val="28"/>
              <w:szCs w:val="32"/>
            </w:rPr>
            <w:instrText xml:space="preserve"> PAGEREF _Toc4109 \h </w:instrText>
          </w:r>
          <w:r>
            <w:rPr>
              <w:sz w:val="28"/>
              <w:szCs w:val="32"/>
            </w:rPr>
            <w:fldChar w:fldCharType="separate"/>
          </w:r>
          <w:r>
            <w:rPr>
              <w:sz w:val="28"/>
              <w:szCs w:val="32"/>
            </w:rPr>
            <w:t>25</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_Toc5249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八、实施标准的要求和措施建议</w:t>
          </w:r>
          <w:r>
            <w:rPr>
              <w:sz w:val="28"/>
              <w:szCs w:val="32"/>
            </w:rPr>
            <w:tab/>
          </w:r>
          <w:r>
            <w:rPr>
              <w:sz w:val="28"/>
              <w:szCs w:val="32"/>
            </w:rPr>
            <w:fldChar w:fldCharType="begin"/>
          </w:r>
          <w:r>
            <w:rPr>
              <w:sz w:val="28"/>
              <w:szCs w:val="32"/>
            </w:rPr>
            <w:instrText xml:space="preserve"> PAGEREF _Toc5249 \h </w:instrText>
          </w:r>
          <w:r>
            <w:rPr>
              <w:sz w:val="28"/>
              <w:szCs w:val="32"/>
            </w:rPr>
            <w:fldChar w:fldCharType="separate"/>
          </w:r>
          <w:r>
            <w:rPr>
              <w:sz w:val="28"/>
              <w:szCs w:val="32"/>
            </w:rPr>
            <w:t>25</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_Toc7098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九、其他应予说明的事项</w:t>
          </w:r>
          <w:r>
            <w:rPr>
              <w:sz w:val="28"/>
              <w:szCs w:val="32"/>
            </w:rPr>
            <w:tab/>
          </w:r>
          <w:r>
            <w:rPr>
              <w:sz w:val="28"/>
              <w:szCs w:val="32"/>
            </w:rPr>
            <w:fldChar w:fldCharType="begin"/>
          </w:r>
          <w:r>
            <w:rPr>
              <w:sz w:val="28"/>
              <w:szCs w:val="32"/>
            </w:rPr>
            <w:instrText xml:space="preserve"> PAGEREF _Toc7098 \h </w:instrText>
          </w:r>
          <w:r>
            <w:rPr>
              <w:sz w:val="28"/>
              <w:szCs w:val="32"/>
            </w:rPr>
            <w:fldChar w:fldCharType="separate"/>
          </w:r>
          <w:r>
            <w:rPr>
              <w:sz w:val="28"/>
              <w:szCs w:val="32"/>
            </w:rPr>
            <w:t>25</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pStyle w:val="8"/>
            <w:tabs>
              <w:tab w:val="right" w:leader="dot" w:pos="9638"/>
            </w:tabs>
            <w:rPr>
              <w:sz w:val="28"/>
              <w:szCs w:val="32"/>
            </w:rPr>
          </w:pPr>
          <w:r>
            <w:rPr>
              <w:rFonts w:hint="eastAsia" w:ascii="仿宋" w:hAnsi="仿宋" w:eastAsia="仿宋" w:cs="Times New Roman"/>
              <w:bCs/>
              <w:color w:val="000000"/>
              <w:kern w:val="2"/>
              <w:sz w:val="28"/>
              <w:szCs w:val="44"/>
              <w:lang w:val="en-US" w:eastAsia="zh-CN" w:bidi="ar-SA"/>
            </w:rPr>
            <w:fldChar w:fldCharType="begin"/>
          </w:r>
          <w:r>
            <w:rPr>
              <w:rFonts w:hint="eastAsia" w:ascii="仿宋" w:hAnsi="仿宋" w:eastAsia="仿宋" w:cs="Times New Roman"/>
              <w:bCs/>
              <w:kern w:val="2"/>
              <w:sz w:val="28"/>
              <w:szCs w:val="44"/>
              <w:lang w:val="en-US" w:eastAsia="zh-CN" w:bidi="ar-SA"/>
            </w:rPr>
            <w:instrText xml:space="preserve"> HYPERLINK \l _Toc20932 </w:instrText>
          </w:r>
          <w:r>
            <w:rPr>
              <w:rFonts w:hint="eastAsia" w:ascii="仿宋" w:hAnsi="仿宋" w:eastAsia="仿宋" w:cs="Times New Roman"/>
              <w:bCs/>
              <w:kern w:val="2"/>
              <w:sz w:val="28"/>
              <w:szCs w:val="44"/>
              <w:lang w:val="en-US" w:eastAsia="zh-CN" w:bidi="ar-SA"/>
            </w:rPr>
            <w:fldChar w:fldCharType="separate"/>
          </w:r>
          <w:r>
            <w:rPr>
              <w:rFonts w:hint="eastAsia" w:ascii="仿宋" w:hAnsi="仿宋" w:eastAsia="仿宋" w:cs="Times New Roman"/>
              <w:kern w:val="2"/>
              <w:sz w:val="28"/>
              <w:szCs w:val="40"/>
              <w:lang w:val="en-US" w:eastAsia="zh-CN" w:bidi="ar-SA"/>
            </w:rPr>
            <w:t>十、参考文献</w:t>
          </w:r>
          <w:r>
            <w:rPr>
              <w:sz w:val="28"/>
              <w:szCs w:val="32"/>
            </w:rPr>
            <w:tab/>
          </w:r>
          <w:r>
            <w:rPr>
              <w:sz w:val="28"/>
              <w:szCs w:val="32"/>
            </w:rPr>
            <w:fldChar w:fldCharType="begin"/>
          </w:r>
          <w:r>
            <w:rPr>
              <w:sz w:val="28"/>
              <w:szCs w:val="32"/>
            </w:rPr>
            <w:instrText xml:space="preserve"> PAGEREF _Toc20932 \h </w:instrText>
          </w:r>
          <w:r>
            <w:rPr>
              <w:sz w:val="28"/>
              <w:szCs w:val="32"/>
            </w:rPr>
            <w:fldChar w:fldCharType="separate"/>
          </w:r>
          <w:r>
            <w:rPr>
              <w:sz w:val="28"/>
              <w:szCs w:val="32"/>
            </w:rPr>
            <w:t>25</w:t>
          </w:r>
          <w:r>
            <w:rPr>
              <w:sz w:val="28"/>
              <w:szCs w:val="32"/>
            </w:rPr>
            <w:fldChar w:fldCharType="end"/>
          </w:r>
          <w:r>
            <w:rPr>
              <w:rFonts w:hint="eastAsia" w:ascii="仿宋" w:hAnsi="仿宋" w:eastAsia="仿宋" w:cs="Times New Roman"/>
              <w:bCs/>
              <w:color w:val="000000"/>
              <w:kern w:val="2"/>
              <w:sz w:val="28"/>
              <w:szCs w:val="44"/>
              <w:lang w:val="en-US" w:eastAsia="zh-CN" w:bidi="ar-SA"/>
            </w:rPr>
            <w:fldChar w:fldCharType="end"/>
          </w:r>
        </w:p>
        <w:p>
          <w:pPr>
            <w:adjustRightInd w:val="0"/>
            <w:snapToGrid w:val="0"/>
            <w:spacing w:line="360" w:lineRule="auto"/>
            <w:ind w:firstLine="560" w:firstLineChars="200"/>
            <w:jc w:val="both"/>
            <w:outlineLvl w:val="3"/>
            <w:rPr>
              <w:rFonts w:hint="eastAsia" w:ascii="仿宋" w:hAnsi="仿宋" w:eastAsia="仿宋" w:cs="Times New Roman"/>
              <w:b/>
              <w:bCs/>
              <w:color w:val="000000"/>
              <w:kern w:val="2"/>
              <w:sz w:val="32"/>
              <w:szCs w:val="32"/>
              <w:lang w:val="en-US" w:eastAsia="zh-CN" w:bidi="ar-SA"/>
            </w:rPr>
          </w:pPr>
          <w:r>
            <w:rPr>
              <w:rFonts w:hint="eastAsia" w:ascii="仿宋" w:hAnsi="仿宋" w:eastAsia="仿宋" w:cs="Times New Roman"/>
              <w:bCs/>
              <w:color w:val="000000"/>
              <w:kern w:val="2"/>
              <w:sz w:val="28"/>
              <w:szCs w:val="44"/>
              <w:lang w:val="en-US" w:eastAsia="zh-CN" w:bidi="ar-SA"/>
            </w:rPr>
            <w:fldChar w:fldCharType="end"/>
          </w:r>
        </w:p>
      </w:sdtContent>
    </w:sdt>
    <w:p>
      <w:pPr>
        <w:pStyle w:val="2"/>
        <w:keepNext w:val="0"/>
        <w:keepLines w:val="0"/>
        <w:spacing w:before="240" w:after="0" w:line="240" w:lineRule="auto"/>
        <w:jc w:val="left"/>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rPr>
          <w:rFonts w:hint="eastAsia" w:ascii="仿宋" w:hAnsi="仿宋" w:eastAsia="仿宋" w:cs="Times New Roman"/>
          <w:color w:val="000000"/>
          <w:kern w:val="2"/>
          <w:sz w:val="30"/>
          <w:szCs w:val="30"/>
          <w:lang w:val="en-US" w:eastAsia="zh-CN" w:bidi="ar-SA"/>
        </w:rPr>
      </w:pPr>
    </w:p>
    <w:p>
      <w:pPr>
        <w:pStyle w:val="2"/>
        <w:keepNext w:val="0"/>
        <w:keepLines w:val="0"/>
        <w:spacing w:before="240" w:after="0" w:line="240" w:lineRule="auto"/>
        <w:jc w:val="center"/>
        <w:rPr>
          <w:rFonts w:hint="eastAsia" w:ascii="仿宋" w:hAnsi="仿宋" w:eastAsia="仿宋" w:cs="Times New Roman"/>
          <w:color w:val="000000"/>
          <w:kern w:val="2"/>
          <w:sz w:val="30"/>
          <w:szCs w:val="30"/>
          <w:lang w:val="en-US" w:eastAsia="zh-CN" w:bidi="ar-SA"/>
        </w:rPr>
      </w:pPr>
      <w:bookmarkStart w:id="0" w:name="_Toc5334"/>
      <w:r>
        <w:rPr>
          <w:rFonts w:hint="eastAsia" w:ascii="仿宋" w:hAnsi="仿宋" w:eastAsia="仿宋" w:cs="Times New Roman"/>
          <w:color w:val="000000"/>
          <w:kern w:val="2"/>
          <w:sz w:val="30"/>
          <w:szCs w:val="30"/>
          <w:lang w:val="en-US" w:eastAsia="zh-CN" w:bidi="ar-SA"/>
        </w:rPr>
        <w:t>《全球地理信息资源 地表覆盖数据产品生产技术规范》</w:t>
      </w:r>
      <w:bookmarkEnd w:id="0"/>
    </w:p>
    <w:p>
      <w:pPr>
        <w:pStyle w:val="2"/>
        <w:keepNext w:val="0"/>
        <w:keepLines w:val="0"/>
        <w:spacing w:before="0" w:after="240" w:line="240" w:lineRule="auto"/>
        <w:jc w:val="center"/>
        <w:rPr>
          <w:rFonts w:hint="eastAsia" w:ascii="仿宋" w:hAnsi="仿宋" w:eastAsia="仿宋" w:cs="Times New Roman"/>
          <w:color w:val="000000"/>
          <w:kern w:val="2"/>
          <w:sz w:val="30"/>
          <w:szCs w:val="30"/>
          <w:lang w:val="en-US" w:eastAsia="zh-CN" w:bidi="ar-SA"/>
        </w:rPr>
      </w:pPr>
      <w:bookmarkStart w:id="1" w:name="_Toc22281"/>
      <w:r>
        <w:rPr>
          <w:rFonts w:hint="eastAsia" w:ascii="仿宋" w:hAnsi="仿宋" w:eastAsia="仿宋" w:cs="Times New Roman"/>
          <w:color w:val="000000"/>
          <w:kern w:val="2"/>
          <w:sz w:val="30"/>
          <w:szCs w:val="30"/>
          <w:lang w:val="en-US" w:eastAsia="zh-CN" w:bidi="ar-SA"/>
        </w:rPr>
        <w:t>编制说明</w:t>
      </w:r>
      <w:bookmarkEnd w:id="1"/>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2" w:name="_Toc26360"/>
      <w:r>
        <w:rPr>
          <w:rFonts w:hint="eastAsia" w:ascii="仿宋" w:hAnsi="仿宋" w:eastAsia="仿宋" w:cs="Times New Roman"/>
          <w:color w:val="000000"/>
          <w:kern w:val="2"/>
          <w:sz w:val="30"/>
          <w:szCs w:val="30"/>
          <w:lang w:val="en-US" w:eastAsia="zh-CN" w:bidi="ar-SA"/>
        </w:rPr>
        <w:t>一、工作简况</w:t>
      </w:r>
      <w:bookmarkEnd w:id="2"/>
    </w:p>
    <w:p>
      <w:pPr>
        <w:pStyle w:val="19"/>
        <w:numPr>
          <w:ilvl w:val="0"/>
          <w:numId w:val="2"/>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任务来源</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2022年9月6日，自然资源部下达《自然资源部办公厅关于 印发 2022 年度自然资源标准制修订工作计划的通知》（自然资办发 〔2022〕39 号），本标准是自然资源部发布的 2022 年测绘行业标准计划项目之一，项目编号（标准计划编号）：202232003， 标准计划名称《全球地理信息资源 地表覆盖数据生产技术规范》。本标准由全国地理信息标准化技术委员会测绘分技术委员会归口，由自然资源部国家基础地理信息中心牵头起草。计划周期：24 个月。</w:t>
      </w:r>
    </w:p>
    <w:p>
      <w:pPr>
        <w:pStyle w:val="19"/>
        <w:numPr>
          <w:ilvl w:val="0"/>
          <w:numId w:val="2"/>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目的意义</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地表覆盖(Land Cover)的空间分布及变化是全球气候环境变化、可持续发展、地理国 (世)情监测等不可或缺的重要基础数据。国内外主要基于遥感影像的光谱、纹理等特征，利用传统数理统计和人工交互编译等方法进行大范围地表覆盖数据产品生产，人工参与量大，耗时长。近年来，随着人工智能技术的飞速发展，深度学习方法因其能够自动、多层次地提取遥感影像的深度特征，已被证明是一种有效的开展地表覆盖信息提取手段。</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自2017年起，全球地理信息资源建设与维护更新项目启动并将地表覆盖信息产品作为其中一项内容，完成了30米分辨率地表覆盖数据更新和10米分辨率重点区域地表覆盖数据生产，并针对境外地表覆盖数据更新生产特点，逐步开展了基于深度学习的地表覆盖数据产品工程化生产的技术升级。构建面向全球地表覆盖要素的训练样本库和深度学习模型是实现自动化生产的核心要素，在缺乏涉及样本库构建、深度学习模型训练方面的自动化生产标准规范的条件下，通过相关技术升级在各重要环节形成了重要规范性成果。</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通过对各生产环节进行梳理提炼，结合多尺度、多格式全球产品生产更新的共性，设计切实支撑全球地表覆盖数据</w:t>
      </w:r>
      <w:bookmarkStart w:id="51" w:name="_GoBack"/>
      <w:bookmarkEnd w:id="51"/>
      <w:r>
        <w:rPr>
          <w:rFonts w:hint="eastAsia" w:ascii="仿宋" w:hAnsi="仿宋" w:eastAsia="仿宋" w:cs="Times New Roman"/>
          <w:color w:val="000000"/>
          <w:kern w:val="2"/>
          <w:sz w:val="30"/>
          <w:szCs w:val="30"/>
          <w:lang w:val="en-US" w:eastAsia="zh-CN" w:bidi="ar-SA"/>
        </w:rPr>
        <w:t>的指标和提取技术流程，形成相应的行业标准规范，以促进自动化生产的规范化和工程化水平，推进我国在全球测图领域技术创新，提高其标准化水平。</w:t>
      </w:r>
    </w:p>
    <w:p>
      <w:pPr>
        <w:pStyle w:val="19"/>
        <w:numPr>
          <w:ilvl w:val="0"/>
          <w:numId w:val="2"/>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起草单位及主要起草人</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1）承担单位和协作单位</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承担单位（主编单位）：国家基础地理信息中心。</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协作单位（参编单位）：中国科学院空天信息创新研究院、北京师范大学、自然资源部第一航测遥感院、黑龙江地理信息工程院、自然资源部第三航测遥感院、陕西测绘地理信息局、黑龙江测绘地理信息局、四川测绘地理信息局、国家测绘产品质量检验测试中心、自然资源部第一地理信息制图院、自然资源部第四地形测量队、自然资源部第三地理信息制图院，共计12家单位。</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2）主要起草人及其所做工作</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6"/>
        <w:gridCol w:w="2126"/>
        <w:gridCol w:w="5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序号</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姓名</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工作单位</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所做主要工作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彭舒</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国家基础地理信息中心</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主编。负责组织标准编制大纲、主要内容及征集意见的讨论、修改及标准文本的统稿定稿等工作。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陈家阁</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国家基础地理信息中心</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副主编。协助组织标准编制大纲、主要内容及意见的讨论、修改、定稿等工作，起草总则、数据内容及规格、作业流程、质量要求等部分主体内容。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3</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田海波</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国家基础地理信息中心</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参与总则、数据内容及规程、质量控制以及成果整理与提交等内容的讨论与修订。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4</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孟瑜</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中国科学院空天信息创新研究院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对标准的提纲以进行设计完善，提出修改思路，对相关技术条款进行修改。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5</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陈静波</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中国科学院空天信息创新研究院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完成标准中深度学习模型的要求、作业流程中关于深度学习模型训练等相关内容。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6</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张宏伟</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国家基础地理信息中心</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对标准的提纲以进行设计完善，提出修改思路，对相关技术条款进行修改。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7</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赵文智</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北京师范大学</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参与标准起草和草案编制，完成训练样本要求，作业流程中关于训练样本构建等相关内容。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8</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屈颖</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自然资源部第一航测遥感院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对总则、数据内容及规格、质量控制等内容进行修订与完善。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9</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阳俊</w:t>
            </w:r>
          </w:p>
        </w:tc>
        <w:tc>
          <w:tcPr>
            <w:tcW w:w="2126" w:type="dxa"/>
            <w:vAlign w:val="center"/>
          </w:tcPr>
          <w:p>
            <w:pPr>
              <w:adjustRightInd w:val="0"/>
              <w:snapToGrid w:val="0"/>
              <w:jc w:val="center"/>
              <w:rPr>
                <w:rFonts w:hint="eastAsia" w:ascii="仿宋" w:hAnsi="仿宋" w:eastAsia="仿宋" w:cs="仿宋"/>
                <w:color w:val="auto"/>
                <w:sz w:val="28"/>
                <w:szCs w:val="28"/>
              </w:rPr>
            </w:pPr>
            <w:r>
              <w:rPr>
                <w:rFonts w:hint="eastAsia" w:ascii="仿宋_GB2312" w:hAnsi="宋体" w:eastAsia="仿宋_GB2312"/>
                <w:color w:val="auto"/>
                <w:sz w:val="28"/>
                <w:szCs w:val="28"/>
              </w:rPr>
              <w:t>自然资源部第二地理信息制图院</w:t>
            </w:r>
          </w:p>
        </w:tc>
        <w:tc>
          <w:tcPr>
            <w:tcW w:w="5380" w:type="dxa"/>
            <w:vAlign w:val="center"/>
          </w:tcPr>
          <w:p>
            <w:pPr>
              <w:adjustRightInd w:val="0"/>
              <w:snapToGrid w:val="0"/>
              <w:jc w:val="both"/>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对作业流程中资料收集、数据源处理等内容进行修订与完善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10</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雷宇宙</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_GB2312" w:hAnsi="宋体" w:eastAsia="仿宋_GB2312"/>
                <w:color w:val="auto"/>
                <w:sz w:val="28"/>
                <w:szCs w:val="28"/>
              </w:rPr>
              <w:t>自然资源部第三航测遥感院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完善总则、数据内容、质量要求等内容。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11</w:t>
            </w:r>
          </w:p>
        </w:tc>
        <w:tc>
          <w:tcPr>
            <w:tcW w:w="1276" w:type="dxa"/>
            <w:vAlign w:val="center"/>
          </w:tcPr>
          <w:p>
            <w:pPr>
              <w:adjustRightInd w:val="0"/>
              <w:snapToGrid w:val="0"/>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宋柯</w:t>
            </w:r>
          </w:p>
        </w:tc>
        <w:tc>
          <w:tcPr>
            <w:tcW w:w="2126" w:type="dxa"/>
            <w:vAlign w:val="center"/>
          </w:tcPr>
          <w:p>
            <w:pPr>
              <w:adjustRightInd w:val="0"/>
              <w:snapToGrid w:val="0"/>
              <w:jc w:val="center"/>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中国科学院空天信息创新研究院</w:t>
            </w:r>
          </w:p>
        </w:tc>
        <w:tc>
          <w:tcPr>
            <w:tcW w:w="5380" w:type="dxa"/>
            <w:vAlign w:val="center"/>
          </w:tcPr>
          <w:p>
            <w:pPr>
              <w:adjustRightInd w:val="0"/>
              <w:snapToGrid w:val="0"/>
              <w:jc w:val="both"/>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对模型配置、模型训练以及模型迭代优化等过程进行修订与完善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12</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谢雯君</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国家测绘产品质量检验测试中心</w:t>
            </w:r>
          </w:p>
        </w:tc>
        <w:tc>
          <w:tcPr>
            <w:tcW w:w="5380" w:type="dxa"/>
            <w:vAlign w:val="center"/>
          </w:tcPr>
          <w:p>
            <w:pPr>
              <w:adjustRightInd w:val="0"/>
              <w:snapToGrid w:val="0"/>
              <w:jc w:val="both"/>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对质量控制、数据成果内容以及成果整理与上交等内容进行修订与完善。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13</w:t>
            </w:r>
          </w:p>
        </w:tc>
        <w:tc>
          <w:tcPr>
            <w:tcW w:w="1276" w:type="dxa"/>
            <w:vAlign w:val="center"/>
          </w:tcPr>
          <w:p>
            <w:pPr>
              <w:adjustRightInd w:val="0"/>
              <w:snapToGrid w:val="0"/>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陈利军</w:t>
            </w:r>
          </w:p>
        </w:tc>
        <w:tc>
          <w:tcPr>
            <w:tcW w:w="2126" w:type="dxa"/>
            <w:vAlign w:val="center"/>
          </w:tcPr>
          <w:p>
            <w:pPr>
              <w:adjustRightInd w:val="0"/>
              <w:snapToGrid w:val="0"/>
              <w:jc w:val="center"/>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国家基础地理信息中心</w:t>
            </w:r>
          </w:p>
        </w:tc>
        <w:tc>
          <w:tcPr>
            <w:tcW w:w="5380" w:type="dxa"/>
            <w:vAlign w:val="center"/>
          </w:tcPr>
          <w:p>
            <w:pPr>
              <w:adjustRightInd w:val="0"/>
              <w:snapToGrid w:val="0"/>
              <w:jc w:val="both"/>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对整个标准的作业流程进行了修订与完善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14</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王莉莉</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ascii="仿宋_GB2312" w:hAnsi="宋体" w:eastAsia="仿宋_GB2312"/>
                <w:color w:val="auto"/>
                <w:sz w:val="28"/>
                <w:szCs w:val="28"/>
              </w:rPr>
              <w:t>陕西测绘地理信息局</w:t>
            </w:r>
          </w:p>
        </w:tc>
        <w:tc>
          <w:tcPr>
            <w:tcW w:w="5380" w:type="dxa"/>
            <w:vAlign w:val="center"/>
          </w:tcPr>
          <w:p>
            <w:pPr>
              <w:adjustRightInd w:val="0"/>
              <w:snapToGrid w:val="0"/>
              <w:jc w:val="both"/>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参与标准立项和草案编制，并对数据成果内容与数据源要求进行修订与完善。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15</w:t>
            </w:r>
          </w:p>
        </w:tc>
        <w:tc>
          <w:tcPr>
            <w:tcW w:w="1276" w:type="dxa"/>
            <w:vAlign w:val="center"/>
          </w:tcPr>
          <w:p>
            <w:pPr>
              <w:adjustRightInd w:val="0"/>
              <w:snapToGrid w:val="0"/>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曲平</w:t>
            </w:r>
          </w:p>
        </w:tc>
        <w:tc>
          <w:tcPr>
            <w:tcW w:w="2126" w:type="dxa"/>
            <w:vAlign w:val="center"/>
          </w:tcPr>
          <w:p>
            <w:pPr>
              <w:adjustRightInd w:val="0"/>
              <w:snapToGrid w:val="0"/>
              <w:jc w:val="center"/>
              <w:rPr>
                <w:rFonts w:hint="eastAsia" w:ascii="仿宋" w:hAnsi="仿宋" w:eastAsia="仿宋" w:cs="仿宋"/>
                <w:color w:val="auto"/>
                <w:sz w:val="28"/>
                <w:szCs w:val="28"/>
              </w:rPr>
            </w:pPr>
            <w:r>
              <w:rPr>
                <w:rFonts w:hint="eastAsia" w:ascii="仿宋_GB2312" w:hAnsi="宋体" w:eastAsia="仿宋_GB2312"/>
                <w:color w:val="auto"/>
                <w:sz w:val="28"/>
                <w:szCs w:val="28"/>
              </w:rPr>
              <w:t>黑龙江测绘地理信息局</w:t>
            </w:r>
          </w:p>
        </w:tc>
        <w:tc>
          <w:tcPr>
            <w:tcW w:w="5380" w:type="dxa"/>
            <w:vAlign w:val="center"/>
          </w:tcPr>
          <w:p>
            <w:pPr>
              <w:adjustRightInd w:val="0"/>
              <w:snapToGrid w:val="0"/>
              <w:jc w:val="both"/>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参与标准范围、引用文件和术语定义的修订与完善。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16</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唐国春</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_GB2312" w:hAnsi="宋体" w:eastAsia="仿宋_GB2312"/>
                <w:color w:val="auto"/>
                <w:sz w:val="28"/>
                <w:szCs w:val="28"/>
              </w:rPr>
              <w:t>自然资源部第三航测遥感院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起草数据成果与内容、质量控制等部分内容，完善数据产品制作部分内容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17</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黄波</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ascii="仿宋_GB2312" w:hAnsi="宋体" w:eastAsia="仿宋_GB2312"/>
                <w:color w:val="auto"/>
                <w:sz w:val="28"/>
                <w:szCs w:val="28"/>
              </w:rPr>
              <w:t>自然资源部第一地理信息制图院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完善总则、资料收集部分内容，完善相关附录内容。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18</w:t>
            </w:r>
          </w:p>
        </w:tc>
        <w:tc>
          <w:tcPr>
            <w:tcW w:w="1276" w:type="dxa"/>
            <w:vAlign w:val="center"/>
          </w:tcPr>
          <w:p>
            <w:pPr>
              <w:adjustRightInd w:val="0"/>
              <w:snapToGrid w:val="0"/>
              <w:jc w:val="center"/>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rPr>
              <w:t>赵淑玲</w:t>
            </w:r>
          </w:p>
        </w:tc>
        <w:tc>
          <w:tcPr>
            <w:tcW w:w="2126" w:type="dxa"/>
            <w:vAlign w:val="center"/>
          </w:tcPr>
          <w:p>
            <w:pPr>
              <w:adjustRightInd w:val="0"/>
              <w:snapToGrid w:val="0"/>
              <w:jc w:val="center"/>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rPr>
              <w:t>自然资源部第四地形测量队</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起草成果整理与上交等部分内容，完善数据产品制作部分内容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19</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毛锦艳</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_GB2312" w:hAnsi="宋体" w:eastAsia="仿宋_GB2312"/>
                <w:color w:val="auto"/>
                <w:sz w:val="28"/>
                <w:szCs w:val="28"/>
              </w:rPr>
              <w:t>自然资源部第三地理信息制图院</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完善总则、成果数据部分内容，完善相关附录内容。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20</w:t>
            </w:r>
          </w:p>
        </w:tc>
        <w:tc>
          <w:tcPr>
            <w:tcW w:w="127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rPr>
              <w:t>涂宏京</w:t>
            </w:r>
          </w:p>
        </w:tc>
        <w:tc>
          <w:tcPr>
            <w:tcW w:w="2126" w:type="dxa"/>
            <w:vAlign w:val="center"/>
          </w:tcPr>
          <w:p>
            <w:pPr>
              <w:adjustRightInd w:val="0"/>
              <w:snapToGrid w:val="0"/>
              <w:jc w:val="center"/>
              <w:rPr>
                <w:rFonts w:hint="eastAsia" w:ascii="仿宋" w:hAnsi="仿宋" w:eastAsia="仿宋" w:cs="仿宋"/>
                <w:color w:val="auto"/>
                <w:kern w:val="2"/>
                <w:sz w:val="28"/>
                <w:szCs w:val="28"/>
                <w:lang w:val="en-US" w:eastAsia="zh-CN" w:bidi="ar-SA"/>
              </w:rPr>
            </w:pPr>
            <w:r>
              <w:rPr>
                <w:rFonts w:hint="eastAsia" w:ascii="仿宋_GB2312" w:hAnsi="宋体" w:eastAsia="仿宋_GB2312"/>
                <w:color w:val="auto"/>
                <w:sz w:val="28"/>
                <w:szCs w:val="28"/>
              </w:rPr>
              <w:t>国家测绘产品质量检验测试中心</w:t>
            </w:r>
          </w:p>
        </w:tc>
        <w:tc>
          <w:tcPr>
            <w:tcW w:w="5380" w:type="dxa"/>
            <w:vAlign w:val="center"/>
          </w:tcPr>
          <w:p>
            <w:pPr>
              <w:adjustRightInd w:val="0"/>
              <w:snapToGrid w:val="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起草质量要求等部分内容，完善数据产品制作部分内容</w:t>
            </w:r>
          </w:p>
        </w:tc>
      </w:tr>
    </w:tbl>
    <w:p>
      <w:pPr>
        <w:pStyle w:val="19"/>
        <w:numPr>
          <w:ilvl w:val="0"/>
          <w:numId w:val="2"/>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主要工作过程</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1）立项启动</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本标准获得立项批准后，主编单位积极开展启动准备工作，组成了本标准编制小组（田海波、彭舒、陈家阁等），起草了实施方案，结合已有工作基础邀请国内有关单位专家参加本标准编制工作，收集分析相关资料，起草标准编制大纲和实施方案，于2022年11月提交至全国地理信息标准化技术委员会秘书处备案。</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2）征求意见稿阶段</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2022年 12 月- 2023年 6 月，编制组开展了大量的调研工作，包括国内外有关现有标准，以及国内地表覆盖数据自动提取技术规范的实际实施情况，编制组开始起草标准草案。 </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2023 年 6 月- 2023年 9 月，以标准草案为基础，编制组又以电话、社交软件、电子邮件和视频会议的形式与国内有地表覆盖自动提取业务需求的生产作业单位、大学、科研院所的多位技术专家和生产专家进行多次交流探讨，并根据专家意见对标准草案进行修改完善，于 2023年 10 月完成了标准和编制说明初稿。</w:t>
      </w:r>
    </w:p>
    <w:p>
      <w:pPr>
        <w:adjustRightInd w:val="0"/>
        <w:snapToGrid w:val="0"/>
        <w:spacing w:line="276" w:lineRule="auto"/>
        <w:ind w:firstLine="600" w:firstLineChars="200"/>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 2023 年 12 月12日，标准起草承担单位国家基础地理信息中心在西安召开了该行业标准讨论会，来自陕西局、龙江局以及四川局等多家单位的17名人员参与会议讨论，对标准进行逐章节、逐段落、逐字句进行修改补充，会议重点对标准的总则、数据成果、作业流程以及质量控制进行了补充和完善，并根据讨论情况进行了后续的分工完善工作。</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2023 年 12 月25日形成了最终的标准征求意见稿。并修改完善了标准编制说明，根据全国地理信息标准化技术委员会测绘分技术委员会标准化工作管理规定要求，申请提交征求意见稿进行广泛的意见征求。</w:t>
      </w:r>
    </w:p>
    <w:p>
      <w:pPr>
        <w:numPr>
          <w:ilvl w:val="0"/>
          <w:numId w:val="3"/>
        </w:num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送审稿阶段</w:t>
      </w:r>
    </w:p>
    <w:p>
      <w:pPr>
        <w:numPr>
          <w:ilvl w:val="0"/>
          <w:numId w:val="0"/>
        </w:numPr>
        <w:adjustRightInd w:val="0"/>
        <w:snapToGrid w:val="0"/>
        <w:spacing w:line="276" w:lineRule="auto"/>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    暂无</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4）报批稿阶段</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暂无</w:t>
      </w: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3" w:name="_Toc9992"/>
      <w:r>
        <w:rPr>
          <w:rFonts w:hint="eastAsia" w:ascii="仿宋" w:hAnsi="仿宋" w:eastAsia="仿宋" w:cs="Times New Roman"/>
          <w:color w:val="000000"/>
          <w:kern w:val="2"/>
          <w:sz w:val="30"/>
          <w:szCs w:val="30"/>
          <w:lang w:val="en-US" w:eastAsia="zh-CN" w:bidi="ar-SA"/>
        </w:rPr>
        <w:t>二、标准编制原则和确定国家标准主要内容的论据</w:t>
      </w:r>
      <w:bookmarkEnd w:id="3"/>
    </w:p>
    <w:p>
      <w:pPr>
        <w:pStyle w:val="30"/>
        <w:numPr>
          <w:ilvl w:val="0"/>
          <w:numId w:val="4"/>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编制原则</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全球地表覆盖测绘制图是一项复杂工程，包括遥感信息获取、处理、管理、地表覆盖采集、质量控制、信息分发、共享、应用等。本标准是在全球地表覆盖遥感制图工程的实践以及最新技术和形势研判的基础上，消化、吸收已有的国际标准，探讨形成全球地理信息资源地表覆盖数据产品生产技术规范，旨在加强全球地表覆盖测绘制图的标准化、规范化，促进资源协同建设和信息共享服务。</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标准编制中认真遵循了先进性、通用性和规范性等原则，并重点把握了以下几个方面：</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（1）全面性：编写过程中遵循国家相关法律、法规和政策，参照国内相关标 准的编写形式、表达方式和相关技术内容，力求与国内相关标准的协调统一，按照 GB/T 1.1-2020 的格式要求进行规范编制，格式、内容及描述规范化。 </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（2）适用性与可操作性：收集了大量的地表覆盖自动提取技术性资料，并开展了相关的测试与验证，可作为本规范编制主要技术依据。 </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（3）先进性：以国内外最新的技术要求为基础，并兼顾今后的发展趋势，对规范进行编制、充实和创新，使之具有先进性。</w:t>
      </w:r>
    </w:p>
    <w:p>
      <w:pPr>
        <w:pStyle w:val="30"/>
        <w:numPr>
          <w:ilvl w:val="0"/>
          <w:numId w:val="4"/>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确定国家标准主要内容的论据</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本标准在我国开展全球地表覆盖遥感制图相关实践制定的规范基础上，结合国际本关工作的现状和趋势，立足于测绘制图产品，按照《标准化工作导则 第1部分：标准的结构和编写》（GB/T 1.1-2020）等技术标准要求，通过将实践中梳理的原则、指标、步骤进行一般性、通用性、完整性的转换，相关指标值参照开展全球地表覆盖遥感制图相关实践提出并实现的要求，形成标准中有关文本，其中在国家863重点项目“全球地表覆盖遥感制图与关键技术研究”编制的各类型提取以及产品规定等以及“全球地理信息资源建设与维护更新”专项中关于30米地表覆盖数据产品和10米地表覆盖数据产品的生产技术规程是本标准的主要参考、采用、凝炼的技术文件。</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p>
    <w:p>
      <w:pPr>
        <w:pStyle w:val="3"/>
        <w:keepNext w:val="0"/>
        <w:keepLines w:val="0"/>
        <w:numPr>
          <w:ilvl w:val="0"/>
          <w:numId w:val="0"/>
        </w:numPr>
        <w:spacing w:before="120" w:after="120" w:line="240" w:lineRule="auto"/>
        <w:ind w:leftChars="0"/>
        <w:rPr>
          <w:rFonts w:hint="default" w:ascii="仿宋" w:hAnsi="仿宋" w:eastAsia="仿宋" w:cs="Times New Roman"/>
          <w:color w:val="000000"/>
          <w:kern w:val="2"/>
          <w:sz w:val="30"/>
          <w:szCs w:val="30"/>
          <w:lang w:val="en-US" w:eastAsia="zh-CN" w:bidi="ar-SA"/>
        </w:rPr>
      </w:pPr>
      <w:bookmarkStart w:id="4" w:name="_Toc31982"/>
      <w:r>
        <w:rPr>
          <w:rFonts w:hint="eastAsia" w:ascii="仿宋" w:hAnsi="仿宋" w:eastAsia="仿宋" w:cs="Times New Roman"/>
          <w:color w:val="000000"/>
          <w:kern w:val="2"/>
          <w:sz w:val="30"/>
          <w:szCs w:val="30"/>
          <w:lang w:val="en-US" w:eastAsia="zh-CN" w:bidi="ar-SA"/>
        </w:rPr>
        <w:t>三、</w:t>
      </w:r>
      <w:bookmarkEnd w:id="4"/>
      <w:r>
        <w:rPr>
          <w:rFonts w:hint="eastAsia" w:ascii="仿宋" w:hAnsi="仿宋" w:eastAsia="仿宋" w:cs="Times New Roman"/>
          <w:color w:val="000000"/>
          <w:kern w:val="2"/>
          <w:sz w:val="30"/>
          <w:szCs w:val="30"/>
          <w:lang w:val="en-US" w:eastAsia="zh-CN" w:bidi="ar-SA"/>
        </w:rPr>
        <w:t>主要试验（或验证）的分析、综述报告，技术经济论证，预期的经济效果</w:t>
      </w:r>
    </w:p>
    <w:p>
      <w:pPr>
        <w:rPr>
          <w:rFonts w:hint="default"/>
          <w:b/>
          <w:bCs/>
          <w:lang w:val="en-US" w:eastAsia="zh-CN"/>
        </w:rPr>
      </w:pPr>
      <w:r>
        <w:rPr>
          <w:rFonts w:hint="eastAsia" w:ascii="仿宋" w:hAnsi="仿宋" w:eastAsia="仿宋" w:cs="Times New Roman"/>
          <w:b/>
          <w:bCs/>
          <w:color w:val="000000"/>
          <w:kern w:val="2"/>
          <w:sz w:val="30"/>
          <w:szCs w:val="30"/>
          <w:lang w:val="en-US" w:eastAsia="zh-CN" w:bidi="ar-SA"/>
        </w:rPr>
        <w:t>3.1 标准各章节编制情况</w:t>
      </w:r>
    </w:p>
    <w:p>
      <w:pPr>
        <w:pStyle w:val="30"/>
        <w:numPr>
          <w:ilvl w:val="0"/>
          <w:numId w:val="5"/>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fldChar w:fldCharType="begin"/>
      </w:r>
      <w:r>
        <w:rPr>
          <w:rFonts w:hint="eastAsia" w:ascii="仿宋" w:hAnsi="仿宋" w:eastAsia="仿宋" w:cs="Times New Roman"/>
          <w:color w:val="000000"/>
          <w:kern w:val="2"/>
          <w:sz w:val="30"/>
          <w:szCs w:val="30"/>
          <w:lang w:val="en-US" w:eastAsia="zh-CN" w:bidi="ar-SA"/>
        </w:rPr>
        <w:instrText xml:space="preserve"> HYPERLINK \l "_Toc451166125" </w:instrText>
      </w:r>
      <w:r>
        <w:rPr>
          <w:rFonts w:hint="eastAsia" w:ascii="仿宋" w:hAnsi="仿宋" w:eastAsia="仿宋" w:cs="Times New Roman"/>
          <w:color w:val="000000"/>
          <w:kern w:val="2"/>
          <w:sz w:val="30"/>
          <w:szCs w:val="30"/>
          <w:lang w:val="en-US" w:eastAsia="zh-CN" w:bidi="ar-SA"/>
        </w:rPr>
        <w:fldChar w:fldCharType="separate"/>
      </w:r>
      <w:r>
        <w:rPr>
          <w:rFonts w:hint="eastAsia" w:ascii="仿宋" w:hAnsi="仿宋" w:eastAsia="仿宋" w:cs="Times New Roman"/>
          <w:color w:val="000000"/>
          <w:kern w:val="2"/>
          <w:sz w:val="30"/>
          <w:szCs w:val="30"/>
          <w:lang w:val="en-US" w:eastAsia="zh-CN" w:bidi="ar-SA"/>
        </w:rPr>
        <w:t>范围</w:t>
      </w:r>
      <w:r>
        <w:rPr>
          <w:rFonts w:hint="eastAsia" w:ascii="仿宋" w:hAnsi="仿宋" w:eastAsia="仿宋" w:cs="Times New Roman"/>
          <w:color w:val="000000"/>
          <w:kern w:val="2"/>
          <w:sz w:val="30"/>
          <w:szCs w:val="30"/>
          <w:lang w:val="en-US" w:eastAsia="zh-CN" w:bidi="ar-SA"/>
        </w:rPr>
        <w:fldChar w:fldCharType="end"/>
      </w:r>
    </w:p>
    <w:p>
      <w:pPr>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针对全球地表覆盖数据获取提出的高精度、高频次等新需求，根据近十年来在遥感信息自动提取技术方面的研究及地理国情监测、地表覆盖监测等实践经验总结，充分评估现有人机交互、自动提取相关技术发展阶段，制定针对性的地表覆盖数据自动提取标准，规范相关作业过程。本标准适用于基于优于30m 分辨率光学遥感卫星数据的地表覆盖遥感信息自动提取工作，其它分辨率光学遥感卫星数据的地表覆盖数据自动提取可参照执行。 本文件适用于利用上述</w:t>
      </w:r>
      <w:bookmarkStart w:id="5" w:name="_Hlk82972169"/>
      <w:r>
        <w:rPr>
          <w:rFonts w:hint="eastAsia" w:ascii="仿宋" w:hAnsi="仿宋" w:eastAsia="仿宋" w:cs="Times New Roman"/>
          <w:color w:val="000000"/>
          <w:kern w:val="2"/>
          <w:sz w:val="30"/>
          <w:szCs w:val="30"/>
          <w:lang w:val="en-US" w:eastAsia="zh-CN" w:bidi="ar-SA"/>
        </w:rPr>
        <w:t>方法开展的全球地理信息资源地表覆盖数据产品</w:t>
      </w:r>
      <w:bookmarkEnd w:id="5"/>
      <w:r>
        <w:rPr>
          <w:rFonts w:hint="eastAsia" w:ascii="仿宋" w:hAnsi="仿宋" w:eastAsia="仿宋" w:cs="Times New Roman"/>
          <w:color w:val="000000"/>
          <w:kern w:val="2"/>
          <w:sz w:val="30"/>
          <w:szCs w:val="30"/>
          <w:lang w:val="en-US" w:eastAsia="zh-CN" w:bidi="ar-SA"/>
        </w:rPr>
        <w:t>的设计与研制，也可作为其他相关地表覆盖遥感制图和数据产品研制的参考。</w:t>
      </w:r>
    </w:p>
    <w:p>
      <w:pPr>
        <w:pStyle w:val="30"/>
        <w:numPr>
          <w:ilvl w:val="0"/>
          <w:numId w:val="5"/>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fldChar w:fldCharType="begin"/>
      </w:r>
      <w:r>
        <w:rPr>
          <w:rFonts w:hint="eastAsia" w:ascii="仿宋" w:hAnsi="仿宋" w:eastAsia="仿宋" w:cs="Times New Roman"/>
          <w:color w:val="000000"/>
          <w:kern w:val="2"/>
          <w:sz w:val="30"/>
          <w:szCs w:val="30"/>
          <w:lang w:val="en-US" w:eastAsia="zh-CN" w:bidi="ar-SA"/>
        </w:rPr>
        <w:instrText xml:space="preserve"> HYPERLINK \l "_Toc451166126" </w:instrText>
      </w:r>
      <w:r>
        <w:rPr>
          <w:rFonts w:hint="eastAsia" w:ascii="仿宋" w:hAnsi="仿宋" w:eastAsia="仿宋" w:cs="Times New Roman"/>
          <w:color w:val="000000"/>
          <w:kern w:val="2"/>
          <w:sz w:val="30"/>
          <w:szCs w:val="30"/>
          <w:lang w:val="en-US" w:eastAsia="zh-CN" w:bidi="ar-SA"/>
        </w:rPr>
        <w:fldChar w:fldCharType="separate"/>
      </w:r>
      <w:r>
        <w:rPr>
          <w:rFonts w:hint="eastAsia" w:ascii="仿宋" w:hAnsi="仿宋" w:eastAsia="仿宋" w:cs="Times New Roman"/>
          <w:color w:val="000000"/>
          <w:kern w:val="2"/>
          <w:sz w:val="30"/>
          <w:szCs w:val="30"/>
          <w:lang w:val="en-US" w:eastAsia="zh-CN" w:bidi="ar-SA"/>
        </w:rPr>
        <w:t>规范性引用文件</w:t>
      </w:r>
      <w:r>
        <w:rPr>
          <w:rFonts w:hint="eastAsia" w:ascii="仿宋" w:hAnsi="仿宋" w:eastAsia="仿宋" w:cs="Times New Roman"/>
          <w:color w:val="000000"/>
          <w:kern w:val="2"/>
          <w:sz w:val="30"/>
          <w:szCs w:val="30"/>
          <w:lang w:val="en-US" w:eastAsia="zh-CN" w:bidi="ar-SA"/>
        </w:rPr>
        <w:fldChar w:fldCharType="end"/>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本标准将与测绘地理信息制图产品相关的3部相关国家标准和3部行业标准，以及与人工智能相关的2部国家标准作为规范性引用文件，包括了术语类标准、数据产品类标准、质量控制类标准等。</w:t>
      </w:r>
    </w:p>
    <w:p>
      <w:pPr>
        <w:pStyle w:val="30"/>
        <w:numPr>
          <w:ilvl w:val="0"/>
          <w:numId w:val="5"/>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fldChar w:fldCharType="begin"/>
      </w:r>
      <w:r>
        <w:rPr>
          <w:rFonts w:hint="eastAsia" w:ascii="仿宋" w:hAnsi="仿宋" w:eastAsia="仿宋" w:cs="Times New Roman"/>
          <w:color w:val="000000"/>
          <w:kern w:val="2"/>
          <w:sz w:val="30"/>
          <w:szCs w:val="30"/>
          <w:lang w:val="en-US" w:eastAsia="zh-CN" w:bidi="ar-SA"/>
        </w:rPr>
        <w:instrText xml:space="preserve"> HYPERLINK \l "_Toc451166127" </w:instrText>
      </w:r>
      <w:r>
        <w:rPr>
          <w:rFonts w:hint="eastAsia" w:ascii="仿宋" w:hAnsi="仿宋" w:eastAsia="仿宋" w:cs="Times New Roman"/>
          <w:color w:val="000000"/>
          <w:kern w:val="2"/>
          <w:sz w:val="30"/>
          <w:szCs w:val="30"/>
          <w:lang w:val="en-US" w:eastAsia="zh-CN" w:bidi="ar-SA"/>
        </w:rPr>
        <w:fldChar w:fldCharType="separate"/>
      </w:r>
      <w:r>
        <w:rPr>
          <w:rFonts w:hint="eastAsia" w:ascii="仿宋" w:hAnsi="仿宋" w:eastAsia="仿宋" w:cs="Times New Roman"/>
          <w:color w:val="000000"/>
          <w:kern w:val="2"/>
          <w:sz w:val="30"/>
          <w:szCs w:val="30"/>
          <w:lang w:val="en-US" w:eastAsia="zh-CN" w:bidi="ar-SA"/>
        </w:rPr>
        <w:t>术语和定义</w:t>
      </w:r>
      <w:r>
        <w:rPr>
          <w:rFonts w:hint="eastAsia" w:ascii="仿宋" w:hAnsi="仿宋" w:eastAsia="仿宋" w:cs="Times New Roman"/>
          <w:color w:val="000000"/>
          <w:kern w:val="2"/>
          <w:sz w:val="30"/>
          <w:szCs w:val="30"/>
          <w:lang w:val="en-US" w:eastAsia="zh-CN" w:bidi="ar-SA"/>
        </w:rPr>
        <w:fldChar w:fldCharType="end"/>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本标准列出地表覆盖、栅格数据、矢量数据、元数据、最小制图单元、深度学习、训练样本、模型训练、错分误差以及漏分误差共10个术语和定义，对标准描述产品对象、产品的核心指标以及规范表达密切相关。</w:t>
      </w:r>
    </w:p>
    <w:p>
      <w:pPr>
        <w:pStyle w:val="30"/>
        <w:numPr>
          <w:ilvl w:val="0"/>
          <w:numId w:val="5"/>
        </w:numPr>
        <w:ind w:firstLineChars="0"/>
        <w:rPr>
          <w:rFonts w:hint="eastAsia" w:ascii="仿宋" w:hAnsi="仿宋" w:eastAsia="仿宋" w:cs="Times New Roman"/>
          <w:color w:val="000000"/>
          <w:kern w:val="2"/>
          <w:sz w:val="30"/>
          <w:szCs w:val="30"/>
          <w:lang w:val="en-US" w:eastAsia="zh-CN" w:bidi="ar-SA"/>
        </w:rPr>
      </w:pPr>
      <w:bookmarkStart w:id="6" w:name="_Toc362611594"/>
      <w:bookmarkEnd w:id="6"/>
      <w:bookmarkStart w:id="7" w:name="_Toc358984367"/>
      <w:bookmarkEnd w:id="7"/>
      <w:bookmarkStart w:id="8" w:name="_Toc360540092"/>
      <w:bookmarkEnd w:id="8"/>
      <w:bookmarkStart w:id="9" w:name="_Toc433530631"/>
      <w:bookmarkEnd w:id="9"/>
      <w:bookmarkStart w:id="10" w:name="_Toc363423211"/>
      <w:bookmarkEnd w:id="10"/>
      <w:bookmarkStart w:id="11" w:name="_Toc464573606"/>
      <w:bookmarkEnd w:id="11"/>
      <w:bookmarkStart w:id="12" w:name="_Toc363575963"/>
      <w:bookmarkEnd w:id="12"/>
      <w:bookmarkStart w:id="13" w:name="_Toc362465204"/>
      <w:bookmarkEnd w:id="13"/>
      <w:bookmarkStart w:id="14" w:name="_Toc366055960"/>
      <w:bookmarkEnd w:id="14"/>
      <w:bookmarkStart w:id="15" w:name="_Toc366138964"/>
      <w:bookmarkEnd w:id="15"/>
      <w:bookmarkStart w:id="16" w:name="_Toc358972631"/>
      <w:bookmarkEnd w:id="16"/>
      <w:bookmarkStart w:id="17" w:name="_Toc365023105"/>
      <w:bookmarkEnd w:id="17"/>
      <w:bookmarkStart w:id="18" w:name="_Toc422493646"/>
      <w:bookmarkEnd w:id="18"/>
      <w:bookmarkStart w:id="19" w:name="_Toc363222578"/>
      <w:bookmarkEnd w:id="19"/>
      <w:bookmarkStart w:id="20" w:name="_Toc360617134"/>
      <w:bookmarkEnd w:id="20"/>
      <w:bookmarkStart w:id="21" w:name="_Toc432776118"/>
      <w:bookmarkEnd w:id="21"/>
      <w:bookmarkStart w:id="22" w:name="_Toc360539954"/>
      <w:bookmarkEnd w:id="22"/>
      <w:bookmarkStart w:id="23" w:name="_Toc433032460"/>
      <w:bookmarkEnd w:id="23"/>
      <w:bookmarkStart w:id="24" w:name="_Toc365024033"/>
      <w:bookmarkEnd w:id="24"/>
      <w:bookmarkStart w:id="25" w:name="_Toc360617601"/>
      <w:bookmarkEnd w:id="25"/>
      <w:bookmarkStart w:id="26" w:name="_Toc365024136"/>
      <w:bookmarkEnd w:id="26"/>
      <w:bookmarkStart w:id="27" w:name="_Toc365024531"/>
      <w:bookmarkEnd w:id="27"/>
      <w:bookmarkStart w:id="28" w:name="_Toc422410220"/>
      <w:bookmarkEnd w:id="28"/>
      <w:bookmarkStart w:id="29" w:name="_Toc360617695"/>
      <w:bookmarkEnd w:id="29"/>
      <w:bookmarkStart w:id="30" w:name="_Toc434761316"/>
      <w:bookmarkEnd w:id="30"/>
      <w:bookmarkStart w:id="31" w:name="_Toc422406872"/>
      <w:bookmarkEnd w:id="31"/>
      <w:bookmarkStart w:id="32" w:name="_Toc362875119"/>
      <w:bookmarkEnd w:id="32"/>
      <w:bookmarkStart w:id="33" w:name="_Toc366055837"/>
      <w:bookmarkEnd w:id="33"/>
      <w:bookmarkStart w:id="34" w:name="_Toc366055663"/>
      <w:bookmarkEnd w:id="34"/>
      <w:bookmarkStart w:id="35" w:name="_Toc362465105"/>
      <w:bookmarkEnd w:id="35"/>
      <w:r>
        <w:rPr>
          <w:rFonts w:hint="eastAsia" w:ascii="仿宋" w:hAnsi="仿宋" w:eastAsia="仿宋" w:cs="Times New Roman"/>
          <w:color w:val="000000"/>
          <w:kern w:val="2"/>
          <w:sz w:val="30"/>
          <w:szCs w:val="30"/>
          <w:lang w:val="en-US" w:eastAsia="zh-CN" w:bidi="ar-SA"/>
        </w:rPr>
        <w:t>总则</w:t>
      </w:r>
    </w:p>
    <w:p>
      <w:pPr>
        <w:adjustRightInd w:val="0"/>
        <w:snapToGrid w:val="0"/>
        <w:spacing w:line="276" w:lineRule="auto"/>
        <w:ind w:left="210" w:leftChars="100" w:firstLine="300" w:firstLineChars="100"/>
        <w:rPr>
          <w:rFonts w:hint="default" w:ascii="仿宋" w:hAnsi="仿宋" w:eastAsia="仿宋" w:cs="Times New Roman"/>
          <w:color w:val="000000"/>
          <w:kern w:val="2"/>
          <w:sz w:val="30"/>
          <w:szCs w:val="30"/>
          <w:lang w:val="en-US" w:eastAsia="zh-CN" w:bidi="ar-SA"/>
        </w:rPr>
      </w:pPr>
      <w:bookmarkStart w:id="36" w:name="_Hlk106727288"/>
      <w:r>
        <w:rPr>
          <w:rFonts w:hint="eastAsia" w:ascii="仿宋" w:hAnsi="仿宋" w:eastAsia="仿宋" w:cs="Times New Roman"/>
          <w:color w:val="000000"/>
          <w:kern w:val="2"/>
          <w:sz w:val="30"/>
          <w:szCs w:val="30"/>
          <w:lang w:val="en-US" w:eastAsia="zh-CN" w:bidi="ar-SA"/>
        </w:rPr>
        <w:t>成果要求从数据源、训练样本要求、深度学习模型训练要求以及总体分类精度要求等四个方面对全球地表覆盖数据产品进行了说明。数据源从几何、季相以及重叠等内容列出相关要求；训练样本是从样本类型、多传感器以及样本数量进行说明；深度学习模型训练和预测主要实现分类提取；提取精度主要从总体精度列出相关要求。</w:t>
      </w:r>
    </w:p>
    <w:bookmarkEnd w:id="36"/>
    <w:p>
      <w:pPr>
        <w:pStyle w:val="30"/>
        <w:numPr>
          <w:ilvl w:val="0"/>
          <w:numId w:val="5"/>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数据产品内容</w:t>
      </w:r>
    </w:p>
    <w:p>
      <w:pPr>
        <w:adjustRightInd w:val="0"/>
        <w:snapToGrid w:val="0"/>
        <w:spacing w:line="276" w:lineRule="auto"/>
        <w:ind w:left="210" w:leftChars="100" w:firstLine="300" w:firstLineChars="100"/>
        <w:rPr>
          <w:rFonts w:hint="default" w:ascii="仿宋" w:hAnsi="仿宋" w:eastAsia="仿宋" w:cs="Times New Roman"/>
          <w:color w:val="000000"/>
          <w:kern w:val="2"/>
          <w:sz w:val="30"/>
          <w:szCs w:val="30"/>
          <w:lang w:val="en-US" w:eastAsia="zh-CN" w:bidi="ar-SA"/>
        </w:rPr>
      </w:pPr>
      <w:bookmarkStart w:id="37" w:name="_Hlk106727335"/>
      <w:r>
        <w:rPr>
          <w:rFonts w:hint="eastAsia" w:ascii="仿宋" w:hAnsi="仿宋" w:eastAsia="仿宋" w:cs="Times New Roman"/>
          <w:color w:val="000000"/>
          <w:kern w:val="2"/>
          <w:sz w:val="30"/>
          <w:szCs w:val="30"/>
          <w:lang w:val="en-US" w:eastAsia="zh-CN" w:bidi="ar-SA"/>
        </w:rPr>
        <w:t>数据产品内容定义了数据产品应包含的3项必要内容，包括地表覆盖成果数据、分类影像数据、深度学习样本模型数据。对成果数据内容的数据结构和内涵进行了说明与定义，其中对于分类数据按照栅格型和矢量型两种数据结果进行说明，元数据按照元数据信息和分类数据源信息进行规定。对样本数据的组成和命名方式进行了规定，对模型描述文件信息列出要求。</w:t>
      </w:r>
    </w:p>
    <w:bookmarkEnd w:id="37"/>
    <w:p>
      <w:pPr>
        <w:pStyle w:val="30"/>
        <w:numPr>
          <w:ilvl w:val="0"/>
          <w:numId w:val="5"/>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作业流程</w:t>
      </w:r>
    </w:p>
    <w:p>
      <w:pPr>
        <w:pStyle w:val="32"/>
        <w:ind w:firstLine="420"/>
        <w:rPr>
          <w:rFonts w:hint="default" w:ascii="仿宋" w:hAnsi="仿宋" w:eastAsia="仿宋" w:cs="Times New Roman"/>
          <w:color w:val="000000"/>
          <w:kern w:val="2"/>
          <w:sz w:val="30"/>
          <w:szCs w:val="30"/>
          <w:lang w:val="en-US" w:eastAsia="zh-CN" w:bidi="ar-SA"/>
        </w:rPr>
      </w:pPr>
      <w:bookmarkStart w:id="38" w:name="_Hlk106727363"/>
      <w:r>
        <w:rPr>
          <w:rFonts w:hint="eastAsia" w:ascii="仿宋" w:hAnsi="仿宋" w:eastAsia="仿宋" w:cs="Times New Roman"/>
          <w:color w:val="000000"/>
          <w:kern w:val="2"/>
          <w:sz w:val="30"/>
          <w:szCs w:val="30"/>
          <w:lang w:val="en-US" w:eastAsia="zh-CN" w:bidi="ar-SA"/>
        </w:rPr>
        <w:t>利用收集到的数据影像、已有地表覆盖分类数据等资料，在数据预处理的基础上，通过深度学习方法提取地表覆盖要素以及后处理，并经过质量检查，最后生成地表覆盖数据产品。工作主要包括：资料收集、训练样本构建、深度学习模型训练、分类提取以及精度评价。</w:t>
      </w:r>
    </w:p>
    <w:p>
      <w:pPr>
        <w:pStyle w:val="30"/>
        <w:numPr>
          <w:ilvl w:val="0"/>
          <w:numId w:val="0"/>
        </w:numPr>
        <w:ind w:left="420" w:leftChars="0"/>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6.1 资料收集</w:t>
      </w:r>
    </w:p>
    <w:p>
      <w:pPr>
        <w:pStyle w:val="32"/>
        <w:ind w:firstLine="42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收集历史地表覆盖、第三次国土调查、基础地理信息更新等矢量数据和对应时相的遥感影像数据，以及与地表覆盖相关的文档、表格等电子数据，用于遥感大样本的构建；根据地表覆盖数据任务空间范围、时相及尺度等要求，综合考虑根据卫星数据源、影像拍摄时间、空间分辨率等条件，收集合适的影像数据，用于地表覆盖数据的自动提取。</w:t>
      </w:r>
    </w:p>
    <w:p>
      <w:pPr>
        <w:widowControl/>
        <w:tabs>
          <w:tab w:val="center" w:pos="4201"/>
          <w:tab w:val="right" w:leader="dot" w:pos="9298"/>
        </w:tabs>
        <w:autoSpaceDE w:val="0"/>
        <w:autoSpaceDN w:val="0"/>
        <w:spacing w:before="156" w:beforeLines="50" w:line="24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对遥感影像进行辐射校正、正射纠正、分辨率匹配、降位处理、重叠区裁剪等预处理，形成覆盖地表覆盖数据产品生产区域范围的遥感影像数据集。采用暗目标消减法（Dark Object Substraction, DOS）逐景进行相对辐射校正；逐景影像进行摄影几何纠正和投影差改正，正射纠正应满足CH/T 9034的要求；分辨率匹配：将正射纠正后的影像的空间分辨率重采样至指定分辨率，使得测区内影像具有相同的空间分辨率；降位处理：采用线形拉伸方法将影像位深调整为无符号8位；重叠区裁剪：为了避免测区内多期影像间重叠区地表覆盖类别的歧义，重叠区内保留质量较高的影像并剔除质量较低的影像，保证测区内影像无重叠。</w:t>
      </w:r>
    </w:p>
    <w:p>
      <w:pPr>
        <w:pStyle w:val="30"/>
        <w:numPr>
          <w:ilvl w:val="0"/>
          <w:numId w:val="0"/>
        </w:numPr>
        <w:ind w:left="420" w:left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6.2 训练样本构建</w:t>
      </w:r>
    </w:p>
    <w:p>
      <w:pPr>
        <w:pStyle w:val="30"/>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针对地表覆盖监测的需要，对收集的已有矢量成果进行类别映射、过滤、矢量编辑等批处理等构建有效的样本图斑矢量成果。针对已有样本图斑矢量不能满足样本构建的情况下，要进行样本勾绘进行补充，样本勾绘尽量考虑空间和类型上均匀分布、多样性的原则，提高样本的典型性和泛化性。 利用构建的样本矢量和对应的影像文件，开发相应的样本裁切程序，形成命名规范、大小统一的样本影像和标签文件，并记录样本的相关详细信息。</w:t>
      </w:r>
    </w:p>
    <w:p>
      <w:pPr>
        <w:pStyle w:val="30"/>
        <w:numPr>
          <w:ilvl w:val="0"/>
          <w:numId w:val="0"/>
        </w:numPr>
        <w:ind w:left="420" w:left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6.3 深度学习模型训练</w:t>
      </w:r>
    </w:p>
    <w:p>
      <w:pPr>
        <w:pStyle w:val="30"/>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根据地表覆盖数据自动提取的范围、作业周期、类型复杂程度、符合的样本情况，以及数据源的时相、分辨率、谱段等特点，选择合适的模型进行训练和验证。深度学习采用多层神经网络实现端到端的训练，包括样本选择、模型选择、模型训练。深度学习要考虑地表覆盖的多尺度、空间关系、注意力机制、先验知识等特性，选择合适的优化器和损失函数解决样本不均衡问题。 通过训练对模型进行迭代和更新，计算验证集和测试集的精度指标 （如准确率、精确率、召回率、F1 值、MIoU 等），直至训练精度满足新增建设提取要求。</w:t>
      </w:r>
    </w:p>
    <w:bookmarkEnd w:id="38"/>
    <w:p>
      <w:pPr>
        <w:pStyle w:val="30"/>
        <w:numPr>
          <w:ilvl w:val="0"/>
          <w:numId w:val="5"/>
        </w:numPr>
        <w:ind w:firstLineChars="0"/>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质量控制</w:t>
      </w:r>
    </w:p>
    <w:p>
      <w:pPr>
        <w:pStyle w:val="30"/>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Times New Roman"/>
          <w:color w:val="000000"/>
          <w:kern w:val="2"/>
          <w:sz w:val="30"/>
          <w:szCs w:val="30"/>
          <w:lang w:val="en-US" w:eastAsia="zh-CN" w:bidi="ar-SA"/>
        </w:rPr>
      </w:pPr>
      <w:bookmarkStart w:id="39" w:name="_Hlk106727388"/>
      <w:r>
        <w:rPr>
          <w:rFonts w:hint="eastAsia" w:ascii="仿宋" w:hAnsi="仿宋" w:eastAsia="仿宋" w:cs="Times New Roman"/>
          <w:color w:val="000000"/>
          <w:kern w:val="2"/>
          <w:sz w:val="30"/>
          <w:szCs w:val="30"/>
          <w:lang w:val="en-US" w:eastAsia="zh-CN" w:bidi="ar-SA"/>
        </w:rPr>
        <w:t>按照质量检查措施、质量元素内容对产品质量部分进行规定。措施主要包括制定质量元素和质量控制实施两个方面。质量元素内容参考《数字测绘成果质量要求》（GB/T 17941-2008），按照数据源质量、类型提取质量、元数据质量3部分进行描述，并与标准的前述部分进行对应说明。</w:t>
      </w:r>
    </w:p>
    <w:bookmarkEnd w:id="39"/>
    <w:p>
      <w:pPr>
        <w:pStyle w:val="30"/>
        <w:numPr>
          <w:ilvl w:val="0"/>
          <w:numId w:val="5"/>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成果整理与提交</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对地表覆盖成果及有关文档资料进行整理，按以下内容逐项登记，形成成果清单，检查无误后，正式提交，成果提交的目录和文件组织由技术设计书规定。</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left"/>
        <w:textAlignment w:val="auto"/>
        <w:rPr>
          <w:rFonts w:hint="eastAsia" w:ascii="仿宋" w:hAnsi="仿宋" w:eastAsia="仿宋" w:cs="Times New Roman"/>
          <w:b/>
          <w:bCs/>
          <w:color w:val="000000"/>
          <w:kern w:val="2"/>
          <w:sz w:val="30"/>
          <w:szCs w:val="30"/>
          <w:lang w:val="en-US" w:eastAsia="zh-CN" w:bidi="ar-SA"/>
        </w:rPr>
      </w:pPr>
      <w:r>
        <w:rPr>
          <w:rFonts w:hint="eastAsia" w:ascii="仿宋" w:hAnsi="仿宋" w:eastAsia="仿宋" w:cs="Times New Roman"/>
          <w:b/>
          <w:bCs/>
          <w:color w:val="000000"/>
          <w:kern w:val="2"/>
          <w:sz w:val="30"/>
          <w:szCs w:val="30"/>
          <w:lang w:val="en-US" w:eastAsia="zh-CN" w:bidi="ar-SA"/>
        </w:rPr>
        <w:t>3.2 验证试验的情况和结果</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采用人工智能方法，基于已有10米地表覆盖数据成果，在资源三号影像中提取《10米地表覆盖数据生产技术规程》中规定的耕地（010000）、林地（020000）、人造地表（050000）和水域（070000）4个地表覆盖一级类，其他土地覆盖类别归为其他。</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（1）数据情况</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以孟加拉国11景资源三号影像及其对应地表覆盖数据成果为训练样本，对训练影像周边的1景孟加拉国测试影像进行分类。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11景训练影像均位于孟加拉国西北部，影像获取时间为2016年11月至2017年1月，名称为：ZY305816320161204、ZY305916420161129、ZY305916320161129、ZY305916220161129、ZY306016120170122、ZY306116420170117、ZY306116320170117、ZY306116220170117、ZY306116120170117、ZY306116020161119、ZY306216020161114。</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测试影像1景，为经过融合处理的资三影像，名称为：ZY306116020170117。</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（2）训练运行环境</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硬盘：192.9.114.61台式机的机械硬盘；</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GPU：192.9.114.151服务器的2块NVIDIA Tesla P100显卡。</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运行方式：Pycharm调用部署在Ubuntu服务器上的PyTorch编译环境进行训练和测试。</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由于硬盘与GPU不在同一计算机上，每次训练均需远程读取大量小图像块文件，因此训练速度较慢。</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w:t>
      </w:r>
      <w:r>
        <w:rPr>
          <w:rFonts w:hint="eastAsia" w:ascii="仿宋" w:hAnsi="仿宋" w:eastAsia="仿宋" w:cs="Times New Roman"/>
          <w:b w:val="0"/>
          <w:bCs w:val="0"/>
          <w:color w:val="000000"/>
          <w:kern w:val="2"/>
          <w:sz w:val="30"/>
          <w:szCs w:val="30"/>
          <w:lang w:val="en-US" w:eastAsia="zh-CN" w:bidi="ar-SA"/>
        </w:rPr>
        <w:t>3）生产流程与算法</w:t>
      </w:r>
    </w:p>
    <w:p>
      <w:pPr>
        <w:snapToGrid w:val="0"/>
        <w:spacing w:line="360" w:lineRule="auto"/>
        <w:ind w:firstLine="600" w:firstLineChars="200"/>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生产流程由样本制作、分类策略试验、深度模型训练、深度模型分类、小图斑归并、评价分析共6个步骤组成。</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 A.样本制作</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1）影像融合：利用ENVI的Gram-Schmidt方法进行影像融合；</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2）投影转换：资三影像采用WGS84-UTM投影，10米土地覆盖数据产品矢量采用WGS84 Geographic投影，对矢量进行投影转换；</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3）无效区裁剪：对于影像和矢量空间范围不一致的情况，利用矢量范围裁剪影像以去除无效区域；</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4）矢量栅格化：将10米土地覆盖数据产品矢量栅格化生成真值影像。</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按照size=1024, stride=512参数，对多光谱影像、融合影像裁剪分块，形成尺寸为1024*1024影像样本。多光谱影像分块共得到3564张图像样本，融合影像分块得到28290张图像样本。</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数据产品裁剪按照size=1024, stride=512的参数，对栅格化后的10米地表覆盖数据产品进行分块，形成尺寸为1024*1024的影像样本。对应多光谱影像的真值图像有3564张，对应融合影像的真值图像有28290张。</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 B.分类策略试验</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（1）全分类与单类提取策略对比</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有2种策略可实现4类土地覆盖类型分类任务：</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1）全分类策略</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利用单个模型一次性得到全部4类土地覆盖，即通过一个5分类器（第5类是其他地物）判别每个像素的地表覆盖类型。</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2）单类提取策略</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针对不同的土地覆盖类型提取任务训练不同的模型，每个模型每次执行2分类任务（即把每个像素分为目标地类和其他地类），顺序执行多次单类提取模型并通过结果合成实现多分类效果。</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为了选择适用的分类策略，利用多光谱样本分别训练了全分类模型和单类提取模型，并基于在待测试多光谱影像上的取得的精度评价结果确定分类策略。两种策略在多光谱样本训练测试中的精度分别如表1和表2所示。</w:t>
      </w:r>
    </w:p>
    <w:p>
      <w:pPr>
        <w:snapToGrid w:val="0"/>
        <w:spacing w:line="360" w:lineRule="auto"/>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表1 全分类策略地表覆盖分类精度</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795"/>
        <w:gridCol w:w="1939"/>
        <w:gridCol w:w="2038"/>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评价对象</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覆盖类型</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Precision</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Recall</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restar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单类分类精度</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耕地</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94.04%</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96.15%</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0.9508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林地</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71.64%</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71.72%</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0.7168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人造地表</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68.11%</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56.89%</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0.6199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水域</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90.22%</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62.68%</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0.7397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精度平均值</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81.00%</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71.86%</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0.7568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全要素分类精度</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Overall</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88.57%</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Kappa</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0.7324</w:t>
            </w:r>
          </w:p>
        </w:tc>
      </w:tr>
    </w:tbl>
    <w:p>
      <w:pPr>
        <w:snapToGrid w:val="0"/>
        <w:spacing w:line="360" w:lineRule="auto"/>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表2 单类提取策略地表覆盖分类精度</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795"/>
        <w:gridCol w:w="1939"/>
        <w:gridCol w:w="2038"/>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评价对象</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覆盖类型</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Precision</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Recall</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restar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单类分类精度</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耕地</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96.23%</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95.40%</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0.9581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林地</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67.74%</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81.41%</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0.7394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人造地表</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72.66%</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50.92%</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0.5988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水域</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92.22%</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67.77%</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0.7813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精度平均值</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82.21%</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73.88%</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0.7694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全要素分类精度</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Overall</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89.19%</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Kappa</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0.7546</w:t>
            </w:r>
          </w:p>
        </w:tc>
      </w:tr>
    </w:tbl>
    <w:p>
      <w:pPr>
        <w:snapToGrid w:val="0"/>
        <w:spacing w:line="360" w:lineRule="auto"/>
        <w:jc w:val="left"/>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注：单类提取结果组合顺序为：耕地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水域</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林地+人造地表</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林地、人造地表2分类。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可以看出，单类分类的平均F-1值、Kappa系数分别比全分类提高了0.01和0.02，说明单类分类精度略优于全分类精度。</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（2）单类提取结果组合策略对比</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选择层级式单分类策略后，还应确定单类提取结果组合的先后顺序，即哪一类提取结果先掩膜、哪一类提取结构后掩膜。不同顺序组合条件下的单类提取全图精度如表3所示。</w:t>
      </w:r>
    </w:p>
    <w:p>
      <w:pPr>
        <w:snapToGrid w:val="0"/>
        <w:spacing w:line="360" w:lineRule="auto"/>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表3 不同单类提取结果组合顺序下的分类精度</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131"/>
        <w:gridCol w:w="1659"/>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序号</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组合顺序</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Overall</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Kappa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水域</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耕地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林地+人造地表</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89.19%</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水域</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人造地表+林地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耕地</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89.39%</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耕地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水域</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林地+人造地表</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89.21%</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耕地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林地+人造地表</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水域</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89.21%</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5</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林地+人造地表</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水域</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耕地</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89.39%</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w:t>
            </w:r>
          </w:p>
        </w:tc>
        <w:tc>
          <w:tcPr>
            <w:tcW w:w="4131"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林地+人造地表</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耕地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水域</w:t>
            </w:r>
          </w:p>
        </w:tc>
        <w:tc>
          <w:tcPr>
            <w:tcW w:w="1659"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89.41%</w:t>
            </w:r>
          </w:p>
        </w:tc>
        <w:tc>
          <w:tcPr>
            <w:tcW w:w="1660" w:type="dxa"/>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0.7543</w:t>
            </w:r>
          </w:p>
        </w:tc>
      </w:tr>
    </w:tbl>
    <w:p>
      <w:pPr>
        <w:snapToGrid w:val="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注：考虑到测试影像中林地与人造地表特征相似，因此林地和人造地表首先作为一类提取，其次在范围内区分林地和人造地表。由于林地和人造地表为互斥关系，林地+人造地表大类的组合顺序不影响全图精度。</w:t>
      </w:r>
    </w:p>
    <w:p>
      <w:pPr>
        <w:snapToGrid w:val="0"/>
        <w:jc w:val="left"/>
        <w:rPr>
          <w:rFonts w:hint="eastAsia" w:ascii="仿宋" w:hAnsi="仿宋" w:eastAsia="仿宋" w:cs="Times New Roman"/>
          <w:color w:val="000000"/>
          <w:kern w:val="2"/>
          <w:sz w:val="30"/>
          <w:szCs w:val="30"/>
          <w:lang w:val="en-US" w:eastAsia="zh-CN" w:bidi="ar-SA"/>
        </w:rPr>
      </w:pP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由表3可以看出，“耕地</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水域</w:t>
      </w:r>
      <w:r>
        <w:rPr>
          <w:rFonts w:hint="eastAsia" w:ascii="仿宋" w:hAnsi="仿宋" w:eastAsia="仿宋" w:cs="Times New Roman"/>
          <w:color w:val="000000"/>
          <w:kern w:val="2"/>
          <w:sz w:val="30"/>
          <w:szCs w:val="30"/>
          <w:lang w:val="en-US" w:eastAsia="zh-CN" w:bidi="ar-SA"/>
        </w:rPr>
        <w:sym w:font="Wingdings" w:char="F0E0"/>
      </w:r>
      <w:r>
        <w:rPr>
          <w:rFonts w:hint="eastAsia" w:ascii="仿宋" w:hAnsi="仿宋" w:eastAsia="仿宋" w:cs="Times New Roman"/>
          <w:color w:val="000000"/>
          <w:kern w:val="2"/>
          <w:sz w:val="30"/>
          <w:szCs w:val="30"/>
          <w:lang w:val="en-US" w:eastAsia="zh-CN" w:bidi="ar-SA"/>
        </w:rPr>
        <w:t>林地+人造地表”的分类结果组合顺序精度略高于其他组合，这符合分层分类中先易后难的组合原则。但总体而言，先后分类顺序对分类精度的影响不大。</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C.深度模型训练</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由于影像融合后尺度较大，如果直接利用分块后的融合影像进行训练，在取得同样精度前提下需要更长的训练时间，因此，首先在多光谱影像样本上进行预训练，以解决模型“从无到有”的问题；再在融合影像样本上进行精调整，以解决模型“从有到好”的问题。</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1）多光谱影像样本预训练</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利用3564张多光谱影像样本进行200个epoch的预训练，单个模型200个epoch预训练耗时约20小时。4个模型在多光谱样本上预训练过程中，在测试集上取得的最高IoU精度为：</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1）耕地：epoch=156时，IoU=0.9196； </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2）水域：epoch=3时，IoU=0.6547；</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3）林地+人造地表：epoch=7时，IoU=0.7880；</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4）林地 vs 人造地表：epoch=122时，IoU=0.7671。</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（2）融合影像样本精调整</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利用28290张融合影像样本进行10个epoch的精调整，单个模型10个epoch精调整共耗时约12小时。4个模型在融合影像的精调整进一步提高了地表覆盖提取精度，在测试集上取得的最高IoU精度分别为：</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1）耕地：epoch=4时，IoU=0.9058； </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2）水域：epoch=2时，IoU=0.5789；</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3）林地+人造地表：epoch=5时，IoU=0.7930；</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4）林地 vs 人造地表：epoch=6时，IoU=0.7754。</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需要说明的是，由于融合影像分辨率为2米，精调时计算IoU的基准也是基于2米成果计算的，因此，预训练阶段和精调整阶段的IoU并不具备可比性。</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D.深度模型分类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采用“单类提取、层级组合”策略的地表覆盖深度模型自动分类流程，其中，红色序号表示单类提取的步骤顺序，蓝色序号表示层级组合的步骤顺序。</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（1）扩展滑窗分块</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深度学习模型的输入是一个滑窗图像块，由于图像块边界处的像素缺失，可能造成分类结果中存在明显的接边线。为了尽量减少接边问题的出现，采用128的扩展区对滑窗影像块进行扩展，即每次输入网络的是1280*1280的图像块，而在结果合成时只取其中有效的1024*1024区域作为分类结果。</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（2）单类自动分类提取</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1）耕地提取：调用耕地提取模型，将待分类影像分为耕地和其他地物； </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2）水域提取：调用水域提取模型，将待分类影像分为水域和其他地物；</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3）林地+人造地表提取：调用林地+人造地表提取模型，将待分类影像分为林地+人造地表和其他地物；</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4）林地vs人造地表二分类：在第3）步提取的林地+人造地表范围内，调用林地与人造地表二分类模型，将范围内影像分为林地、人造地表2类。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（3）单类结果层级组合</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生成一张与待分类影像尺寸相同、像素值均为0（代表无效值）的结果影像，依次进行如下操作：</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1）耕地结果组合：将耕地结果对应的结果影像像素值设置为1；</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2）水域结果组合：将水域结果对应的结果影像像素值0修改为7；</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3）林地、人造地表结果组合：将林地、人造地表结果对应的结果影像像素值0分别修改为2和5；</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4）其他地物赋值：将输入图像有效范围内的像素0修改为99（其他地物）。</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E.小图斑归并</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按照《10米地表覆盖数据生产技术规程》中关于耕地、林地、人造地表、水域4类地物的采集要求，耕地、林地、人造地表、水域最小图斑对应的地面实地面积分别为10000平方米、25000平方米、10000平方米和10000平方米。考虑到影像分类误差可能导致的漏提取现象，按照规程中最小上图图斑面积的一半为阈值进行小图斑滤除，滤除处理规则为：</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1）面积小于5000平方米（对应2米影像上的1250个像素，约35*35个像元）的耕地，按照“就近就大”原则规定到相邻地类；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2）面积小于12500平方米（对应2米影像上的3125个像素，约56*56个像元）的林地，按照“就近就大”原则规定到相邻地类；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3）面积小于5000平方米（对应2米影像上的1250个像素，约35*35个像元）的人造地表，按照“就近就大”原则规定到相邻地类；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4）面积小于5000平方米（对应2米影像上的1250个像素，约35*35个像元）的水域，按照“就近就大”原则规定到相邻地类。</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由于实验时间较短，小图斑归并在目前的实验中尚未开展，计划在下个版本中将有所体现。</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F.精度评价</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从精度和效率两方面对现有方法进行评价：精度方面，针对单类提取结果采用单类精度评价，针对全图全要素（耕地、林地、人造地表、水域、其他）采用总体精度评价；效率方面，记录了模型训练时间、模型分类等耗时。对测试影像ZY306116020170117进行精度评价的结果如表4所示。</w:t>
      </w:r>
    </w:p>
    <w:p>
      <w:pPr>
        <w:snapToGrid w:val="0"/>
        <w:spacing w:line="360" w:lineRule="auto"/>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表4 测试影像（ZY306116020170117）分类精度</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795"/>
        <w:gridCol w:w="1939"/>
        <w:gridCol w:w="2038"/>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评价对象</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覆盖类型</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Precision</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Recall</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restar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单类分类精度</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耕地</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97.97%</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93.24%</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0.9554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林地</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71.37%</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78.20%</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人造地表</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74.98%</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49.19%</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0.5941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水域</w:t>
            </w:r>
          </w:p>
        </w:tc>
        <w:tc>
          <w:tcPr>
            <w:tcW w:w="98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93.72%</w:t>
            </w:r>
          </w:p>
        </w:tc>
        <w:tc>
          <w:tcPr>
            <w:tcW w:w="1034"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63.54%</w:t>
            </w:r>
          </w:p>
        </w:tc>
        <w:tc>
          <w:tcPr>
            <w:tcW w:w="961" w:type="pct"/>
            <w:vAlign w:val="bottom"/>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vMerge w:val="continue"/>
          </w:tcPr>
          <w:p>
            <w:pPr>
              <w:snapToGrid w:val="0"/>
              <w:jc w:val="center"/>
              <w:rPr>
                <w:rFonts w:hint="eastAsia" w:ascii="仿宋" w:hAnsi="仿宋" w:eastAsia="仿宋" w:cs="Times New Roman"/>
                <w:color w:val="000000"/>
                <w:kern w:val="2"/>
                <w:sz w:val="30"/>
                <w:szCs w:val="30"/>
                <w:lang w:val="en-US" w:eastAsia="zh-CN" w:bidi="ar-SA"/>
              </w:rPr>
            </w:pP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精度平均值</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84.51%</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71.04%</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pct"/>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全要素分类精度</w:t>
            </w:r>
          </w:p>
        </w:tc>
        <w:tc>
          <w:tcPr>
            <w:tcW w:w="91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Overall</w:t>
            </w:r>
          </w:p>
        </w:tc>
        <w:tc>
          <w:tcPr>
            <w:tcW w:w="98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87.12%</w:t>
            </w:r>
          </w:p>
        </w:tc>
        <w:tc>
          <w:tcPr>
            <w:tcW w:w="1034"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Kappa</w:t>
            </w:r>
          </w:p>
        </w:tc>
        <w:tc>
          <w:tcPr>
            <w:tcW w:w="961" w:type="pct"/>
            <w:vAlign w:val="center"/>
          </w:tcPr>
          <w:p>
            <w:pPr>
              <w:snapToGrid w:val="0"/>
              <w:jc w:val="center"/>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0.7214</w:t>
            </w:r>
          </w:p>
        </w:tc>
      </w:tr>
    </w:tbl>
    <w:p>
      <w:pPr>
        <w:snapToGrid w:val="0"/>
        <w:spacing w:line="360" w:lineRule="auto"/>
        <w:rPr>
          <w:rFonts w:hint="eastAsia" w:ascii="仿宋" w:hAnsi="仿宋" w:eastAsia="仿宋" w:cs="Times New Roman"/>
          <w:color w:val="000000"/>
          <w:kern w:val="2"/>
          <w:sz w:val="30"/>
          <w:szCs w:val="30"/>
          <w:lang w:val="en-US" w:eastAsia="zh-CN" w:bidi="ar-SA"/>
        </w:rPr>
      </w:pP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（1）单类精度评价</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针对耕地、林地、人造地表、水域4个地表覆盖类别提取结果，分别采用精确率（查准率，Precision）、召回率（查全率，Recall）和F1指数进行评价。同时，考虑到实际业务中的“宁漏勿错”原则，采用F0.5指数进行偏向精确率的精度评价，4个精度评价指标的意义为：</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1）精确率Precision为正确提取的目标地物占全部目标地物提取结果的比例，精确率高表示目标地物提取结果错误少；</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2）召回率Recall即为正确提取的目标地物占目标地物真值比例，召回率高表示目标地物提取结果遗漏少；</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3）F1指数为综合考虑精确率和召回率的精度指标，在假定精确率和召回率同等重要情况下采用F1指标进行综合评价。</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（2）全要素精度评价</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全图全要素精度评价采用总体精度Overall和Kappa系数2个指标：</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1）总体精度Overall即正确分类的地表覆盖像素占所有像素的比例；</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2）Kappa系数反映了类别不均衡情况下的总体分类精度。</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（3）运行时间分析</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1）预训练耗时：在利用多光谱样本进行预训练时，单个模型200个epoch平均总耗时20小时，4个模型共耗时约80小时；</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2）精调整耗时：在利用融合样本进行精调整时，单个模型10个epoch平均总耗时约12小时，4个模型共耗时约48小时；</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3）分类时间：2米资三融合影像分类耗时约55分钟/景；</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4）精度评价耗时：全部6个指标评价耗时约55分钟/景。</w:t>
      </w:r>
    </w:p>
    <w:p>
      <w:pPr>
        <w:snapToGrid w:val="0"/>
        <w:spacing w:line="360"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需要指出的是，由于训练换下GPU和硬盘通过局域网连接，且硬盘为局域网多人共用的共享硬盘，因此，训练速度耗时长主要是由局域网内数据传输、硬盘并行读取等硬件设施客观条件造成的。若硬盘和GPU同在服务器上，则训练效率估计为的4倍以上，即总训练时间约为32小时。</w:t>
      </w:r>
    </w:p>
    <w:p>
      <w:pPr>
        <w:adjustRightInd w:val="0"/>
        <w:snapToGrid w:val="0"/>
        <w:spacing w:line="276" w:lineRule="auto"/>
        <w:rPr>
          <w:rFonts w:hint="eastAsia" w:ascii="仿宋" w:hAnsi="仿宋" w:eastAsia="仿宋" w:cs="Times New Roman"/>
          <w:color w:val="000000"/>
          <w:kern w:val="2"/>
          <w:sz w:val="30"/>
          <w:szCs w:val="30"/>
          <w:lang w:val="en-US" w:eastAsia="zh-CN" w:bidi="ar-SA"/>
        </w:rPr>
      </w:pP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40" w:name="_Toc18407"/>
      <w:r>
        <w:rPr>
          <w:rFonts w:hint="eastAsia" w:ascii="仿宋" w:hAnsi="仿宋" w:eastAsia="仿宋" w:cs="Times New Roman"/>
          <w:color w:val="000000"/>
          <w:kern w:val="2"/>
          <w:sz w:val="30"/>
          <w:szCs w:val="30"/>
          <w:lang w:val="en-US" w:eastAsia="zh-CN" w:bidi="ar-SA"/>
        </w:rPr>
        <w:t>四、采用国际标准和国外先进标准的程度，以及与国际、国外同类标准水平的对比情况，或与测试的国外样品、样机的有关数据对比情况</w:t>
      </w:r>
      <w:bookmarkEnd w:id="40"/>
    </w:p>
    <w:p>
      <w:pPr>
        <w:pStyle w:val="30"/>
        <w:numPr>
          <w:ilvl w:val="0"/>
          <w:numId w:val="6"/>
        </w:numPr>
        <w:ind w:firstLine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标准的符合性和一致性</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1）标准的符合性</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bookmarkStart w:id="41" w:name="_Hlk106727233"/>
      <w:r>
        <w:rPr>
          <w:rFonts w:hint="eastAsia" w:ascii="仿宋" w:hAnsi="仿宋" w:eastAsia="仿宋" w:cs="Times New Roman"/>
          <w:color w:val="000000"/>
          <w:kern w:val="2"/>
          <w:sz w:val="30"/>
          <w:szCs w:val="30"/>
          <w:lang w:val="en-US" w:eastAsia="zh-CN" w:bidi="ar-SA"/>
        </w:rPr>
        <w:t>本标准基于空间分辨率为10-30米航天遥感影像所表征的全球地表覆盖信息形成制图数据产品规范的要求。</w:t>
      </w:r>
      <w:bookmarkEnd w:id="41"/>
      <w:r>
        <w:rPr>
          <w:rFonts w:hint="eastAsia" w:ascii="仿宋" w:hAnsi="仿宋" w:eastAsia="仿宋" w:cs="Times New Roman"/>
          <w:color w:val="000000"/>
          <w:kern w:val="2"/>
          <w:sz w:val="30"/>
          <w:szCs w:val="30"/>
          <w:lang w:val="en-US" w:eastAsia="zh-CN" w:bidi="ar-SA"/>
        </w:rPr>
        <w:t>本标准规定了中尺度全球地表覆盖测绘制图数据产品的基本要求、数据产品内容、数据产品制作、质量要求、分发与服务。</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2）标准的一致性</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目前国际上有两个关于地表覆盖的标准，分别是ISO-19144-1“地理信息 分类系统1：分类系统的结构”和ISO-19144-2“地理信息 分类系统2：地表覆盖元数据”。前一个标准正在采标（国标），后一个标准尚在论证阶段。这两个标准与本标准在技术内容方面有所区别，本标准的制定部分参照这两个标准。</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国内方面，现行国家标准主要是对土地利用分类进行了规定，行业标准主要对土地利用数据采用与建库进行了规定，是面向国内开展相关国土调查制定的规范，本标准立足于测绘数据产品，面向全球范围的数据生产工作，标准的范围、技术内容基本没有重叠。</w:t>
      </w:r>
    </w:p>
    <w:p>
      <w:pPr>
        <w:pStyle w:val="30"/>
        <w:numPr>
          <w:ilvl w:val="0"/>
          <w:numId w:val="0"/>
        </w:numPr>
        <w:ind w:left="420" w:left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2.采用国际标准和国外先进标准的程度</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无。</w:t>
      </w:r>
    </w:p>
    <w:p>
      <w:pPr>
        <w:pStyle w:val="30"/>
        <w:numPr>
          <w:ilvl w:val="0"/>
          <w:numId w:val="0"/>
        </w:numPr>
        <w:ind w:left="420" w:leftChars="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3.与国际、国外同类标准水平的对比情况，或与测试的国外样品、样机的有关数据对比情况</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本标准中规定的产品数据源、分类系统、精度、尺度等关键指标均与当前国际主流全球地表覆盖产品保持同步。</w:t>
      </w: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42" w:name="_Toc5164"/>
      <w:r>
        <w:rPr>
          <w:rFonts w:hint="eastAsia" w:ascii="仿宋" w:hAnsi="仿宋" w:eastAsia="仿宋" w:cs="Times New Roman"/>
          <w:color w:val="000000"/>
          <w:kern w:val="2"/>
          <w:sz w:val="30"/>
          <w:szCs w:val="30"/>
          <w:lang w:val="en-US" w:eastAsia="zh-CN" w:bidi="ar-SA"/>
        </w:rPr>
        <w:t>五、与有关的现行法律、法规和强制性国家标准的关系</w:t>
      </w:r>
      <w:bookmarkEnd w:id="42"/>
      <w:r>
        <w:rPr>
          <w:rFonts w:hint="eastAsia" w:ascii="仿宋" w:hAnsi="仿宋" w:eastAsia="仿宋" w:cs="Times New Roman"/>
          <w:color w:val="000000"/>
          <w:kern w:val="2"/>
          <w:sz w:val="30"/>
          <w:szCs w:val="30"/>
          <w:lang w:val="en-US" w:eastAsia="zh-CN" w:bidi="ar-SA"/>
        </w:rPr>
        <w:t xml:space="preserve"> </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本标准引用国家标准7项，全部为推荐性标准，行业标准1项。</w:t>
      </w: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43" w:name="_Toc11839"/>
      <w:r>
        <w:rPr>
          <w:rFonts w:hint="eastAsia" w:ascii="仿宋" w:hAnsi="仿宋" w:eastAsia="仿宋" w:cs="Times New Roman"/>
          <w:color w:val="000000"/>
          <w:kern w:val="2"/>
          <w:sz w:val="30"/>
          <w:szCs w:val="30"/>
          <w:lang w:val="en-US" w:eastAsia="zh-CN" w:bidi="ar-SA"/>
        </w:rPr>
        <w:t>六、重大分歧意见的处理经过和依据</w:t>
      </w:r>
      <w:bookmarkEnd w:id="43"/>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暂无。</w:t>
      </w: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44" w:name="_Toc4109"/>
      <w:r>
        <w:rPr>
          <w:rFonts w:hint="eastAsia" w:ascii="仿宋" w:hAnsi="仿宋" w:eastAsia="仿宋" w:cs="Times New Roman"/>
          <w:color w:val="000000"/>
          <w:kern w:val="2"/>
          <w:sz w:val="30"/>
          <w:szCs w:val="30"/>
          <w:lang w:val="en-US" w:eastAsia="zh-CN" w:bidi="ar-SA"/>
        </w:rPr>
        <w:t>七、废止现行有关标准的建议</w:t>
      </w:r>
      <w:bookmarkEnd w:id="44"/>
    </w:p>
    <w:p>
      <w:pPr>
        <w:pStyle w:val="31"/>
        <w:spacing w:before="156" w:beforeLines="50" w:after="156" w:afterLines="50"/>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无。</w:t>
      </w: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45" w:name="_Toc5249"/>
      <w:r>
        <w:rPr>
          <w:rFonts w:hint="eastAsia" w:ascii="仿宋" w:hAnsi="仿宋" w:eastAsia="仿宋" w:cs="Times New Roman"/>
          <w:color w:val="000000"/>
          <w:kern w:val="2"/>
          <w:sz w:val="30"/>
          <w:szCs w:val="30"/>
          <w:lang w:val="en-US" w:eastAsia="zh-CN" w:bidi="ar-SA"/>
        </w:rPr>
        <w:t>八、实施标准的要求和措施建议</w:t>
      </w:r>
      <w:bookmarkEnd w:id="45"/>
    </w:p>
    <w:p>
      <w:pPr>
        <w:pStyle w:val="31"/>
        <w:spacing w:before="156" w:beforeLines="50" w:after="156" w:afterLines="50"/>
        <w:ind w:firstLine="600" w:firstLineChars="200"/>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无。</w:t>
      </w:r>
    </w:p>
    <w:p>
      <w:pPr>
        <w:pStyle w:val="3"/>
        <w:keepNext w:val="0"/>
        <w:keepLines w:val="0"/>
        <w:numPr>
          <w:ilvl w:val="0"/>
          <w:numId w:val="0"/>
        </w:numPr>
        <w:spacing w:before="120" w:after="120" w:line="240" w:lineRule="auto"/>
        <w:ind w:leftChars="0"/>
        <w:rPr>
          <w:rFonts w:hint="eastAsia" w:ascii="仿宋" w:hAnsi="仿宋" w:eastAsia="仿宋" w:cs="Times New Roman"/>
          <w:color w:val="000000"/>
          <w:kern w:val="2"/>
          <w:sz w:val="30"/>
          <w:szCs w:val="30"/>
          <w:lang w:val="en-US" w:eastAsia="zh-CN" w:bidi="ar-SA"/>
        </w:rPr>
      </w:pPr>
      <w:bookmarkStart w:id="46" w:name="_Toc7098"/>
      <w:r>
        <w:rPr>
          <w:rFonts w:hint="eastAsia" w:ascii="仿宋" w:hAnsi="仿宋" w:eastAsia="仿宋" w:cs="Times New Roman"/>
          <w:color w:val="000000"/>
          <w:kern w:val="2"/>
          <w:sz w:val="30"/>
          <w:szCs w:val="30"/>
          <w:lang w:val="en-US" w:eastAsia="zh-CN" w:bidi="ar-SA"/>
        </w:rPr>
        <w:t>九、其他应予说明的事项</w:t>
      </w:r>
      <w:bookmarkEnd w:id="46"/>
    </w:p>
    <w:p>
      <w:pPr>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 xml:space="preserve">    无</w:t>
      </w:r>
    </w:p>
    <w:p>
      <w:pPr>
        <w:pStyle w:val="3"/>
        <w:keepNext w:val="0"/>
        <w:keepLines w:val="0"/>
        <w:numPr>
          <w:ilvl w:val="0"/>
          <w:numId w:val="0"/>
        </w:numPr>
        <w:spacing w:before="120" w:after="120" w:line="240" w:lineRule="auto"/>
        <w:ind w:leftChars="0"/>
        <w:rPr>
          <w:rFonts w:hint="default" w:ascii="仿宋" w:hAnsi="仿宋" w:eastAsia="仿宋" w:cs="Times New Roman"/>
          <w:color w:val="000000"/>
          <w:kern w:val="2"/>
          <w:sz w:val="30"/>
          <w:szCs w:val="30"/>
          <w:lang w:val="en-US" w:eastAsia="zh-CN" w:bidi="ar-SA"/>
        </w:rPr>
      </w:pPr>
      <w:bookmarkStart w:id="47" w:name="_Toc20932"/>
      <w:r>
        <w:rPr>
          <w:rFonts w:hint="eastAsia" w:ascii="仿宋" w:hAnsi="仿宋" w:eastAsia="仿宋" w:cs="Times New Roman"/>
          <w:color w:val="000000"/>
          <w:kern w:val="2"/>
          <w:sz w:val="30"/>
          <w:szCs w:val="30"/>
          <w:lang w:val="en-US" w:eastAsia="zh-CN" w:bidi="ar-SA"/>
        </w:rPr>
        <w:t>十、参考文献</w:t>
      </w:r>
      <w:bookmarkEnd w:id="47"/>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5271.34-2006 信息技术 词汇 第34部分：人工智能 神经网络</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17694-2009  地理信息术语</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 xml:space="preserve">GB/T </w:t>
      </w:r>
      <w:bookmarkStart w:id="48" w:name="_Hlk60851390"/>
      <w:r>
        <w:rPr>
          <w:rFonts w:ascii="Times New Roman" w:cs="Times New Roman"/>
          <w:color w:val="000000" w:themeColor="text1"/>
          <w:sz w:val="21"/>
          <w:szCs w:val="21"/>
          <w14:textFill>
            <w14:solidFill>
              <w14:schemeClr w14:val="tx1"/>
            </w14:solidFill>
          </w14:textFill>
        </w:rPr>
        <w:t>17941 2008</w:t>
      </w:r>
      <w:bookmarkEnd w:id="48"/>
      <w:bookmarkStart w:id="49" w:name="_Hlk60851380"/>
      <w:r>
        <w:rPr>
          <w:rFonts w:ascii="Times New Roman" w:cs="Times New Roman"/>
          <w:color w:val="000000" w:themeColor="text1"/>
          <w:sz w:val="21"/>
          <w:szCs w:val="21"/>
          <w14:textFill>
            <w14:solidFill>
              <w14:schemeClr w14:val="tx1"/>
            </w14:solidFill>
          </w14:textFill>
        </w:rPr>
        <w:t xml:space="preserve">  数字测绘成果质量要求</w:t>
      </w:r>
      <w:bookmarkEnd w:id="49"/>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18314-2009  全球定位系统GPS测量规范</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19231  土地基本术语</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24356-2023  测绘成果质量检查与验收</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25528-2010</w:t>
      </w:r>
      <w:bookmarkStart w:id="50" w:name="_Hlk527358405"/>
      <w:r>
        <w:rPr>
          <w:rFonts w:ascii="Times New Roman" w:cs="Times New Roman"/>
          <w:color w:val="000000" w:themeColor="text1"/>
          <w:sz w:val="21"/>
          <w:szCs w:val="21"/>
          <w14:textFill>
            <w14:solidFill>
              <w14:schemeClr w14:val="tx1"/>
            </w14:solidFill>
          </w14:textFill>
        </w:rPr>
        <w:t xml:space="preserve">  地理信息 数据产品规范</w:t>
      </w:r>
      <w:bookmarkEnd w:id="50"/>
    </w:p>
    <w:p>
      <w:pPr>
        <w:pStyle w:val="31"/>
        <w:numPr>
          <w:ilvl w:val="0"/>
          <w:numId w:val="7"/>
        </w:numPr>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G</w:t>
      </w:r>
      <w:r>
        <w:rPr>
          <w:rFonts w:ascii="Times New Roman" w:cs="Times New Roman"/>
          <w:color w:val="000000" w:themeColor="text1"/>
          <w:sz w:val="21"/>
          <w:szCs w:val="21"/>
          <w14:textFill>
            <w14:solidFill>
              <w14:schemeClr w14:val="tx1"/>
            </w14:solidFill>
          </w14:textFill>
        </w:rPr>
        <w:t>B/T 20257.3-2017</w:t>
      </w:r>
      <w:r>
        <w:rPr>
          <w:rFonts w:hint="eastAsia" w:ascii="Times New Roman" w:cs="Times New Roman"/>
          <w:color w:val="000000" w:themeColor="text1"/>
          <w:sz w:val="21"/>
          <w:szCs w:val="21"/>
          <w14:textFill>
            <w14:solidFill>
              <w14:schemeClr w14:val="tx1"/>
            </w14:solidFill>
          </w14:textFill>
        </w:rPr>
        <w:t xml:space="preserve"> 国家基本比例尺地图图式第3部分：1∶25 000 1∶50 000 1∶100 000地形图图式</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G</w:t>
      </w:r>
      <w:r>
        <w:rPr>
          <w:rFonts w:ascii="Times New Roman" w:cs="Times New Roman"/>
          <w:color w:val="000000" w:themeColor="text1"/>
          <w:sz w:val="21"/>
          <w:szCs w:val="21"/>
          <w14:textFill>
            <w14:solidFill>
              <w14:schemeClr w14:val="tx1"/>
            </w14:solidFill>
          </w14:textFill>
        </w:rPr>
        <w:t>B/T 20257.4-2017</w:t>
      </w:r>
      <w:r>
        <w:rPr>
          <w:rFonts w:hint="eastAsia" w:ascii="Times New Roman" w:cs="Times New Roman"/>
          <w:color w:val="000000" w:themeColor="text1"/>
          <w:sz w:val="21"/>
          <w:szCs w:val="21"/>
          <w14:textFill>
            <w14:solidFill>
              <w14:schemeClr w14:val="tx1"/>
            </w14:solidFill>
          </w14:textFill>
        </w:rPr>
        <w:t xml:space="preserve"> </w:t>
      </w:r>
      <w:r>
        <w:rPr>
          <w:rFonts w:ascii="Times New Roman" w:cs="Times New Roman"/>
          <w:color w:val="000000" w:themeColor="text1"/>
          <w:sz w:val="21"/>
          <w:szCs w:val="21"/>
          <w14:textFill>
            <w14:solidFill>
              <w14:schemeClr w14:val="tx1"/>
            </w14:solidFill>
          </w14:textFill>
        </w:rPr>
        <w:t>国家基本比例尺地图图式第4部分：1∶250</w:t>
      </w:r>
      <w:r>
        <w:rPr>
          <w:rFonts w:hint="eastAsia" w:ascii="Times New Roman" w:cs="Times New Roman"/>
          <w:color w:val="000000" w:themeColor="text1"/>
          <w:sz w:val="21"/>
          <w:szCs w:val="21"/>
          <w14:textFill>
            <w14:solidFill>
              <w14:schemeClr w14:val="tx1"/>
            </w14:solidFill>
          </w14:textFill>
        </w:rPr>
        <w:t xml:space="preserve">000 </w:t>
      </w:r>
      <w:r>
        <w:rPr>
          <w:rFonts w:ascii="Times New Roman" w:cs="Times New Roman"/>
          <w:color w:val="000000" w:themeColor="text1"/>
          <w:sz w:val="21"/>
          <w:szCs w:val="21"/>
          <w14:textFill>
            <w14:solidFill>
              <w14:schemeClr w14:val="tx1"/>
            </w14:solidFill>
          </w14:textFill>
        </w:rPr>
        <w:t>1∶</w:t>
      </w:r>
      <w:r>
        <w:rPr>
          <w:rFonts w:hint="eastAsia" w:ascii="Times New Roman" w:cs="Times New Roman"/>
          <w:color w:val="000000" w:themeColor="text1"/>
          <w:sz w:val="21"/>
          <w:szCs w:val="21"/>
          <w14:textFill>
            <w14:solidFill>
              <w14:schemeClr w14:val="tx1"/>
            </w14:solidFill>
          </w14:textFill>
        </w:rPr>
        <w:t>50</w:t>
      </w:r>
      <w:r>
        <w:rPr>
          <w:rFonts w:ascii="Times New Roman" w:cs="Times New Roman"/>
          <w:color w:val="000000" w:themeColor="text1"/>
          <w:sz w:val="21"/>
          <w:szCs w:val="21"/>
          <w14:textFill>
            <w14:solidFill>
              <w14:schemeClr w14:val="tx1"/>
            </w14:solidFill>
          </w14:textFill>
        </w:rPr>
        <w:t>0</w:t>
      </w:r>
      <w:r>
        <w:rPr>
          <w:rFonts w:hint="eastAsia" w:ascii="Times New Roman" w:cs="Times New Roman"/>
          <w:color w:val="000000" w:themeColor="text1"/>
          <w:sz w:val="21"/>
          <w:szCs w:val="21"/>
          <w14:textFill>
            <w14:solidFill>
              <w14:schemeClr w14:val="tx1"/>
            </w14:solidFill>
          </w14:textFill>
        </w:rPr>
        <w:t xml:space="preserve">000 </w:t>
      </w:r>
      <w:r>
        <w:rPr>
          <w:rFonts w:ascii="Times New Roman" w:cs="Times New Roman"/>
          <w:color w:val="000000" w:themeColor="text1"/>
          <w:sz w:val="21"/>
          <w:szCs w:val="21"/>
          <w14:textFill>
            <w14:solidFill>
              <w14:schemeClr w14:val="tx1"/>
            </w14:solidFill>
          </w14:textFill>
        </w:rPr>
        <w:t>1∶</w:t>
      </w:r>
      <w:r>
        <w:rPr>
          <w:rFonts w:hint="eastAsia" w:ascii="Times New Roman" w:cs="Times New Roman"/>
          <w:color w:val="000000" w:themeColor="text1"/>
          <w:sz w:val="21"/>
          <w:szCs w:val="21"/>
          <w14:textFill>
            <w14:solidFill>
              <w14:schemeClr w14:val="tx1"/>
            </w14:solidFill>
          </w14:textFill>
        </w:rPr>
        <w:t>100</w:t>
      </w:r>
      <w:r>
        <w:rPr>
          <w:rFonts w:ascii="Times New Roman" w:cs="Times New Roman"/>
          <w:color w:val="000000" w:themeColor="text1"/>
          <w:sz w:val="21"/>
          <w:szCs w:val="21"/>
          <w14:textFill>
            <w14:solidFill>
              <w14:schemeClr w14:val="tx1"/>
            </w14:solidFill>
          </w14:textFill>
        </w:rPr>
        <w:t>0</w:t>
      </w:r>
      <w:r>
        <w:rPr>
          <w:rFonts w:hint="eastAsia" w:ascii="Times New Roman" w:cs="Times New Roman"/>
          <w:color w:val="000000" w:themeColor="text1"/>
          <w:sz w:val="21"/>
          <w:szCs w:val="21"/>
          <w14:textFill>
            <w14:solidFill>
              <w14:schemeClr w14:val="tx1"/>
            </w14:solidFill>
          </w14:textFill>
        </w:rPr>
        <w:t>000地形图图式</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30322.1-2013  地理信息 分类系统 第1部分：分类系统结构</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CH/T 1001</w:t>
      </w:r>
      <w:r>
        <w:rPr>
          <w:rFonts w:hint="eastAsia" w:ascii="Times New Roman" w:cs="Times New Roman"/>
          <w:color w:val="000000" w:themeColor="text1"/>
          <w:sz w:val="21"/>
          <w:szCs w:val="21"/>
          <w14:textFill>
            <w14:solidFill>
              <w14:schemeClr w14:val="tx1"/>
            </w14:solidFill>
          </w14:textFill>
        </w:rPr>
        <w:t>-2005</w:t>
      </w:r>
      <w:r>
        <w:rPr>
          <w:rFonts w:ascii="Times New Roman" w:cs="Times New Roman"/>
          <w:color w:val="000000" w:themeColor="text1"/>
          <w:sz w:val="21"/>
          <w:szCs w:val="21"/>
          <w14:textFill>
            <w14:solidFill>
              <w14:schemeClr w14:val="tx1"/>
            </w14:solidFill>
          </w14:textFill>
        </w:rPr>
        <w:t xml:space="preserve"> 测绘技术总结编写规定</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CH/T 1004</w:t>
      </w:r>
      <w:r>
        <w:rPr>
          <w:rFonts w:hint="eastAsia" w:ascii="Times New Roman" w:cs="Times New Roman"/>
          <w:color w:val="000000" w:themeColor="text1"/>
          <w:sz w:val="21"/>
          <w:szCs w:val="21"/>
          <w14:textFill>
            <w14:solidFill>
              <w14:schemeClr w14:val="tx1"/>
            </w14:solidFill>
          </w14:textFill>
        </w:rPr>
        <w:t>-2005</w:t>
      </w:r>
      <w:r>
        <w:rPr>
          <w:rFonts w:ascii="Times New Roman" w:cs="Times New Roman"/>
          <w:color w:val="000000" w:themeColor="text1"/>
          <w:sz w:val="21"/>
          <w:szCs w:val="21"/>
          <w14:textFill>
            <w14:solidFill>
              <w14:schemeClr w14:val="tx1"/>
            </w14:solidFill>
          </w14:textFill>
        </w:rPr>
        <w:t xml:space="preserve"> 测绘技术设计规定</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CH/T 9034-2022 全球地理信息资源 数字正射影像生产技术规范</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fldChar w:fldCharType="begin"/>
      </w:r>
      <w:r>
        <w:rPr>
          <w:rFonts w:ascii="Times New Roman" w:cs="Times New Roman"/>
          <w:color w:val="000000" w:themeColor="text1"/>
          <w:sz w:val="21"/>
          <w:szCs w:val="21"/>
          <w14:textFill>
            <w14:solidFill>
              <w14:schemeClr w14:val="tx1"/>
            </w14:solidFill>
          </w14:textFill>
        </w:rPr>
        <w:instrText xml:space="preserve">HYPERLINK "http://www.so.com/link?url=http%3A%2F%2Fwww.tsinfo.js.cn%2Finquiry%2Fgbtdetails.aspx%3FA100%3DGB%2FT%252014911-2008&amp;q=%E6%B5%8B%E7%BB%98%E5%9F%BA%E6%9C%AC%E6%9C%AF%E8%AF%AD+GB+%E4%B8%8B%E8%BD%BD&amp;ts=1470190928&amp;t=b1b8c3d7650a8b983563a40d90063b8&amp;src=haosou" \t "_blank"</w:instrText>
      </w:r>
      <w:r>
        <w:rPr>
          <w:rFonts w:ascii="Times New Roman" w:cs="Times New Roman"/>
          <w:color w:val="000000" w:themeColor="text1"/>
          <w:sz w:val="21"/>
          <w:szCs w:val="21"/>
          <w14:textFill>
            <w14:solidFill>
              <w14:schemeClr w14:val="tx1"/>
            </w14:solidFill>
          </w14:textFill>
        </w:rPr>
        <w:fldChar w:fldCharType="separate"/>
      </w:r>
      <w:r>
        <w:rPr>
          <w:rFonts w:ascii="Times New Roman" w:cs="Times New Roman"/>
          <w:color w:val="000000" w:themeColor="text1"/>
          <w:sz w:val="21"/>
          <w:szCs w:val="21"/>
          <w14:textFill>
            <w14:solidFill>
              <w14:schemeClr w14:val="tx1"/>
            </w14:solidFill>
          </w14:textFill>
        </w:rPr>
        <w:t>GB/T 14911-2008  测绘基本术语</w:t>
      </w:r>
      <w:r>
        <w:rPr>
          <w:rFonts w:ascii="Times New Roman" w:cs="Times New Roman"/>
          <w:color w:val="000000" w:themeColor="text1"/>
          <w:sz w:val="21"/>
          <w:szCs w:val="21"/>
          <w14:textFill>
            <w14:solidFill>
              <w14:schemeClr w14:val="tx1"/>
            </w14:solidFill>
          </w14:textFill>
        </w:rPr>
        <w:fldChar w:fldCharType="end"/>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 xml:space="preserve">GB/T 18316-2008 </w:t>
      </w:r>
      <w:r>
        <w:rPr>
          <w:rFonts w:hint="eastAsia" w:ascii="Times New Roman" w:cs="Times New Roman"/>
          <w:color w:val="000000" w:themeColor="text1"/>
          <w:sz w:val="21"/>
          <w:szCs w:val="21"/>
          <w14:textFill>
            <w14:solidFill>
              <w14:schemeClr w14:val="tx1"/>
            </w14:solidFill>
          </w14:textFill>
        </w:rPr>
        <w:t xml:space="preserve"> </w:t>
      </w:r>
      <w:r>
        <w:rPr>
          <w:rFonts w:ascii="Times New Roman" w:cs="Times New Roman"/>
          <w:color w:val="000000" w:themeColor="text1"/>
          <w:sz w:val="21"/>
          <w:szCs w:val="21"/>
          <w14:textFill>
            <w14:solidFill>
              <w14:schemeClr w14:val="tx1"/>
            </w14:solidFill>
          </w14:textFill>
        </w:rPr>
        <w:t>数字测绘成果质量检查与验收</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19231</w:t>
      </w:r>
      <w:r>
        <w:rPr>
          <w:rFonts w:hint="eastAsia" w:ascii="Times New Roman" w:cs="Times New Roman"/>
          <w:color w:val="000000" w:themeColor="text1"/>
          <w:sz w:val="21"/>
          <w:szCs w:val="21"/>
          <w14:textFill>
            <w14:solidFill>
              <w14:schemeClr w14:val="tx1"/>
            </w14:solidFill>
          </w14:textFill>
        </w:rPr>
        <w:t>-2003</w:t>
      </w:r>
      <w:r>
        <w:rPr>
          <w:rFonts w:ascii="Times New Roman" w:cs="Times New Roman"/>
          <w:color w:val="000000" w:themeColor="text1"/>
          <w:sz w:val="21"/>
          <w:szCs w:val="21"/>
          <w14:textFill>
            <w14:solidFill>
              <w14:schemeClr w14:val="tx1"/>
            </w14:solidFill>
          </w14:textFill>
        </w:rPr>
        <w:t xml:space="preserve">  土地基本术语</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 41867-2022 信息技术 人工智能 术语</w:t>
      </w:r>
    </w:p>
    <w:p>
      <w:pPr>
        <w:pStyle w:val="31"/>
        <w:numPr>
          <w:ilvl w:val="0"/>
          <w:numId w:val="7"/>
        </w:numPr>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GB/T39608-202</w:t>
      </w:r>
      <w:r>
        <w:rPr>
          <w:rFonts w:hint="eastAsia" w:ascii="Times New Roman" w:cs="Times New Roman"/>
          <w:color w:val="000000" w:themeColor="text1"/>
          <w:sz w:val="21"/>
          <w:szCs w:val="21"/>
          <w14:textFill>
            <w14:solidFill>
              <w14:schemeClr w14:val="tx1"/>
            </w14:solidFill>
          </w14:textFill>
        </w:rPr>
        <w:t xml:space="preserve">0 </w:t>
      </w:r>
      <w:r>
        <w:rPr>
          <w:rFonts w:ascii="Times New Roman" w:cs="Times New Roman"/>
          <w:color w:val="000000" w:themeColor="text1"/>
          <w:sz w:val="21"/>
          <w:szCs w:val="21"/>
          <w14:textFill>
            <w14:solidFill>
              <w14:schemeClr w14:val="tx1"/>
            </w14:solidFill>
          </w14:textFill>
        </w:rPr>
        <w:t>基础地理信息数字成果元数据</w:t>
      </w:r>
    </w:p>
    <w:p>
      <w:pPr>
        <w:adjustRightInd w:val="0"/>
        <w:snapToGrid w:val="0"/>
        <w:spacing w:line="276" w:lineRule="auto"/>
        <w:ind w:firstLine="600" w:firstLineChars="200"/>
        <w:rPr>
          <w:rFonts w:hint="eastAsia" w:ascii="仿宋" w:hAnsi="仿宋" w:eastAsia="仿宋" w:cs="Times New Roman"/>
          <w:color w:val="000000"/>
          <w:kern w:val="2"/>
          <w:sz w:val="30"/>
          <w:szCs w:val="30"/>
          <w:lang w:val="en-US" w:eastAsia="zh-CN" w:bidi="ar-SA"/>
        </w:rPr>
      </w:pPr>
    </w:p>
    <w:sectPr>
      <w:footerReference r:id="rId3" w:type="default"/>
      <w:pgSz w:w="11906" w:h="16838"/>
      <w:pgMar w:top="1134" w:right="1134" w:bottom="1134" w:left="1134"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0227037"/>
      <w:docPartObj>
        <w:docPartGallery w:val="autotext"/>
      </w:docPartObj>
    </w:sdtPr>
    <w:sdtContent>
      <w:p>
        <w:pPr>
          <w:pStyle w:val="5"/>
          <w:jc w:val="center"/>
        </w:pPr>
        <w:r>
          <w:fldChar w:fldCharType="begin"/>
        </w:r>
        <w:r>
          <w:instrText xml:space="preserve">PAGE   \* MERGEFORMAT</w:instrText>
        </w:r>
        <w:r>
          <w:fldChar w:fldCharType="separate"/>
        </w:r>
        <w:r>
          <w:rPr>
            <w:lang w:val="zh-CN"/>
          </w:rPr>
          <w:t>10</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C65B6"/>
    <w:multiLevelType w:val="singleLevel"/>
    <w:tmpl w:val="811C65B6"/>
    <w:lvl w:ilvl="0" w:tentative="0">
      <w:start w:val="3"/>
      <w:numFmt w:val="decimal"/>
      <w:suff w:val="nothing"/>
      <w:lvlText w:val="%1）"/>
      <w:lvlJc w:val="left"/>
    </w:lvl>
  </w:abstractNum>
  <w:abstractNum w:abstractNumId="1">
    <w:nsid w:val="896EC39A"/>
    <w:multiLevelType w:val="multilevel"/>
    <w:tmpl w:val="896EC3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1A6421"/>
    <w:multiLevelType w:val="multilevel"/>
    <w:tmpl w:val="101A6421"/>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6D352A8"/>
    <w:multiLevelType w:val="multilevel"/>
    <w:tmpl w:val="16D352A8"/>
    <w:lvl w:ilvl="0" w:tentative="0">
      <w:start w:val="1"/>
      <w:numFmt w:val="decimal"/>
      <w:lvlText w:val="%1．"/>
      <w:lvlJc w:val="left"/>
      <w:pPr>
        <w:ind w:left="1140" w:hanging="720"/>
      </w:pPr>
      <w:rPr>
        <w:rFonts w:hint="default"/>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FC91163"/>
    <w:multiLevelType w:val="multilevel"/>
    <w:tmpl w:val="1FC91163"/>
    <w:lvl w:ilvl="0" w:tentative="0">
      <w:start w:val="1"/>
      <w:numFmt w:val="decimal"/>
      <w:pStyle w:val="2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6"/>
      <w:suff w:val="nothing"/>
      <w:lvlText w:val="%1.%2.%3　"/>
      <w:lvlJc w:val="left"/>
      <w:pPr>
        <w:ind w:left="568" w:firstLine="0"/>
      </w:pPr>
      <w:rPr>
        <w:rFonts w:hint="eastAsia" w:ascii="黑体" w:hAnsi="Times New Roman" w:eastAsia="黑体"/>
        <w:b w:val="0"/>
        <w:i w:val="0"/>
        <w:color w:val="000000"/>
        <w:sz w:val="21"/>
      </w:rPr>
    </w:lvl>
    <w:lvl w:ilvl="3" w:tentative="0">
      <w:start w:val="1"/>
      <w:numFmt w:val="decimal"/>
      <w:pStyle w:val="27"/>
      <w:suff w:val="nothing"/>
      <w:lvlText w:val="%1.%2.%3.%4　"/>
      <w:lvlJc w:val="left"/>
      <w:pPr>
        <w:ind w:left="0" w:firstLine="0"/>
      </w:pPr>
      <w:rPr>
        <w:rFonts w:hint="eastAsia" w:ascii="黑体" w:hAnsi="Times New Roman" w:eastAsia="黑体"/>
        <w:b w:val="0"/>
        <w:i w:val="0"/>
        <w:color w:val="auto"/>
        <w:sz w:val="21"/>
      </w:rPr>
    </w:lvl>
    <w:lvl w:ilvl="4" w:tentative="0">
      <w:start w:val="1"/>
      <w:numFmt w:val="decimal"/>
      <w:suff w:val="nothing"/>
      <w:lvlText w:val="%1.%2.%3.%4.%5　"/>
      <w:lvlJc w:val="left"/>
      <w:pPr>
        <w:ind w:left="993"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26A7899"/>
    <w:multiLevelType w:val="multilevel"/>
    <w:tmpl w:val="226A7899"/>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DE5044C"/>
    <w:multiLevelType w:val="multilevel"/>
    <w:tmpl w:val="4DE5044C"/>
    <w:lvl w:ilvl="0" w:tentative="0">
      <w:start w:val="1"/>
      <w:numFmt w:val="decimal"/>
      <w:lvlText w:val="%1．"/>
      <w:lvlJc w:val="left"/>
      <w:pPr>
        <w:ind w:left="1140" w:hanging="720"/>
      </w:pPr>
      <w:rPr>
        <w:rFonts w:hint="default"/>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2"/>
  </w:num>
  <w:num w:numId="3">
    <w:abstractNumId w:val="0"/>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DBB"/>
    <w:rsid w:val="000005C5"/>
    <w:rsid w:val="00000737"/>
    <w:rsid w:val="000053E2"/>
    <w:rsid w:val="00006314"/>
    <w:rsid w:val="00010FD5"/>
    <w:rsid w:val="00012A1A"/>
    <w:rsid w:val="00022837"/>
    <w:rsid w:val="000237BF"/>
    <w:rsid w:val="000256B9"/>
    <w:rsid w:val="00036AD6"/>
    <w:rsid w:val="00042A1D"/>
    <w:rsid w:val="00045863"/>
    <w:rsid w:val="00055528"/>
    <w:rsid w:val="000666D6"/>
    <w:rsid w:val="00066D79"/>
    <w:rsid w:val="00080346"/>
    <w:rsid w:val="00091189"/>
    <w:rsid w:val="000A66B1"/>
    <w:rsid w:val="000B33E6"/>
    <w:rsid w:val="000B499F"/>
    <w:rsid w:val="000B6118"/>
    <w:rsid w:val="000B672D"/>
    <w:rsid w:val="000C4E84"/>
    <w:rsid w:val="000D4CAE"/>
    <w:rsid w:val="000E40AD"/>
    <w:rsid w:val="000E76EA"/>
    <w:rsid w:val="000F2682"/>
    <w:rsid w:val="000F3186"/>
    <w:rsid w:val="000F7E30"/>
    <w:rsid w:val="0010036E"/>
    <w:rsid w:val="00111366"/>
    <w:rsid w:val="00122E45"/>
    <w:rsid w:val="001266F1"/>
    <w:rsid w:val="00127E78"/>
    <w:rsid w:val="00127FA7"/>
    <w:rsid w:val="001344F9"/>
    <w:rsid w:val="00134D13"/>
    <w:rsid w:val="001472A1"/>
    <w:rsid w:val="00147B08"/>
    <w:rsid w:val="00155272"/>
    <w:rsid w:val="0016368C"/>
    <w:rsid w:val="00173393"/>
    <w:rsid w:val="0017622A"/>
    <w:rsid w:val="00180E73"/>
    <w:rsid w:val="00183383"/>
    <w:rsid w:val="00184859"/>
    <w:rsid w:val="001A3331"/>
    <w:rsid w:val="001A3AF4"/>
    <w:rsid w:val="001A46DC"/>
    <w:rsid w:val="001A4D23"/>
    <w:rsid w:val="001B0CDA"/>
    <w:rsid w:val="001B2E19"/>
    <w:rsid w:val="001B3DCF"/>
    <w:rsid w:val="001B7BDA"/>
    <w:rsid w:val="001C3334"/>
    <w:rsid w:val="001E192B"/>
    <w:rsid w:val="0021162E"/>
    <w:rsid w:val="00211785"/>
    <w:rsid w:val="00211BF1"/>
    <w:rsid w:val="00223AE8"/>
    <w:rsid w:val="00225811"/>
    <w:rsid w:val="00241DE8"/>
    <w:rsid w:val="00252FF6"/>
    <w:rsid w:val="00261931"/>
    <w:rsid w:val="002619A3"/>
    <w:rsid w:val="002630D7"/>
    <w:rsid w:val="0026391B"/>
    <w:rsid w:val="00270CCA"/>
    <w:rsid w:val="00282F07"/>
    <w:rsid w:val="00296C2E"/>
    <w:rsid w:val="00297CF8"/>
    <w:rsid w:val="002A1CD3"/>
    <w:rsid w:val="002A290C"/>
    <w:rsid w:val="002B42D0"/>
    <w:rsid w:val="002D2853"/>
    <w:rsid w:val="002D77F9"/>
    <w:rsid w:val="002E510C"/>
    <w:rsid w:val="002E5193"/>
    <w:rsid w:val="002F6AA5"/>
    <w:rsid w:val="0030022C"/>
    <w:rsid w:val="00304819"/>
    <w:rsid w:val="00307A7D"/>
    <w:rsid w:val="00321313"/>
    <w:rsid w:val="003322D6"/>
    <w:rsid w:val="00332C9E"/>
    <w:rsid w:val="003344B5"/>
    <w:rsid w:val="0033503A"/>
    <w:rsid w:val="003378F5"/>
    <w:rsid w:val="0034021F"/>
    <w:rsid w:val="003432CB"/>
    <w:rsid w:val="00345677"/>
    <w:rsid w:val="003549B4"/>
    <w:rsid w:val="00373DBB"/>
    <w:rsid w:val="003741C0"/>
    <w:rsid w:val="00374207"/>
    <w:rsid w:val="00375993"/>
    <w:rsid w:val="00375997"/>
    <w:rsid w:val="003765B9"/>
    <w:rsid w:val="00385BC1"/>
    <w:rsid w:val="00390181"/>
    <w:rsid w:val="0039645A"/>
    <w:rsid w:val="003A64F0"/>
    <w:rsid w:val="003A6595"/>
    <w:rsid w:val="003A7F0B"/>
    <w:rsid w:val="003B3363"/>
    <w:rsid w:val="003B5BD4"/>
    <w:rsid w:val="003C12A3"/>
    <w:rsid w:val="003C3C72"/>
    <w:rsid w:val="003D0865"/>
    <w:rsid w:val="003D28EC"/>
    <w:rsid w:val="003E48D0"/>
    <w:rsid w:val="003F15E5"/>
    <w:rsid w:val="003F34C0"/>
    <w:rsid w:val="00412A92"/>
    <w:rsid w:val="00415CB6"/>
    <w:rsid w:val="00421DCD"/>
    <w:rsid w:val="00426477"/>
    <w:rsid w:val="00431E9C"/>
    <w:rsid w:val="0043536F"/>
    <w:rsid w:val="004402D1"/>
    <w:rsid w:val="00441608"/>
    <w:rsid w:val="00441C59"/>
    <w:rsid w:val="00450928"/>
    <w:rsid w:val="0045469D"/>
    <w:rsid w:val="00461763"/>
    <w:rsid w:val="004638CE"/>
    <w:rsid w:val="00465351"/>
    <w:rsid w:val="00474308"/>
    <w:rsid w:val="0047457F"/>
    <w:rsid w:val="00477D08"/>
    <w:rsid w:val="00481801"/>
    <w:rsid w:val="00481B48"/>
    <w:rsid w:val="004822D4"/>
    <w:rsid w:val="00484E71"/>
    <w:rsid w:val="00491AA0"/>
    <w:rsid w:val="00491E27"/>
    <w:rsid w:val="004B1E75"/>
    <w:rsid w:val="004B3FFE"/>
    <w:rsid w:val="004B66B3"/>
    <w:rsid w:val="004B6CA6"/>
    <w:rsid w:val="004C5716"/>
    <w:rsid w:val="004D5C81"/>
    <w:rsid w:val="004F0C56"/>
    <w:rsid w:val="004F63F5"/>
    <w:rsid w:val="004F7951"/>
    <w:rsid w:val="0050186B"/>
    <w:rsid w:val="00501A13"/>
    <w:rsid w:val="005234F6"/>
    <w:rsid w:val="00523DA4"/>
    <w:rsid w:val="00523E3E"/>
    <w:rsid w:val="005428A8"/>
    <w:rsid w:val="005520A0"/>
    <w:rsid w:val="00556B7F"/>
    <w:rsid w:val="005615CB"/>
    <w:rsid w:val="0056469D"/>
    <w:rsid w:val="005659FF"/>
    <w:rsid w:val="005674D8"/>
    <w:rsid w:val="00570DEF"/>
    <w:rsid w:val="005735EA"/>
    <w:rsid w:val="0058702C"/>
    <w:rsid w:val="0058737E"/>
    <w:rsid w:val="00596B5B"/>
    <w:rsid w:val="005A2513"/>
    <w:rsid w:val="005A3FEF"/>
    <w:rsid w:val="005A6038"/>
    <w:rsid w:val="005B6A33"/>
    <w:rsid w:val="005C457E"/>
    <w:rsid w:val="005C618B"/>
    <w:rsid w:val="005C62B8"/>
    <w:rsid w:val="005D1290"/>
    <w:rsid w:val="005E2F99"/>
    <w:rsid w:val="005E37ED"/>
    <w:rsid w:val="005E3A5F"/>
    <w:rsid w:val="005F27E1"/>
    <w:rsid w:val="005F3A5B"/>
    <w:rsid w:val="005F798F"/>
    <w:rsid w:val="00606701"/>
    <w:rsid w:val="006221EE"/>
    <w:rsid w:val="00622A81"/>
    <w:rsid w:val="0062582C"/>
    <w:rsid w:val="006357C1"/>
    <w:rsid w:val="0063620D"/>
    <w:rsid w:val="0063667F"/>
    <w:rsid w:val="00642A00"/>
    <w:rsid w:val="00644EE5"/>
    <w:rsid w:val="00645F58"/>
    <w:rsid w:val="00647494"/>
    <w:rsid w:val="00647A33"/>
    <w:rsid w:val="006551F4"/>
    <w:rsid w:val="006660C4"/>
    <w:rsid w:val="00682E2F"/>
    <w:rsid w:val="006877F5"/>
    <w:rsid w:val="006900D2"/>
    <w:rsid w:val="00691D1A"/>
    <w:rsid w:val="00695D4A"/>
    <w:rsid w:val="00695E00"/>
    <w:rsid w:val="006A3543"/>
    <w:rsid w:val="006A44DA"/>
    <w:rsid w:val="006A6012"/>
    <w:rsid w:val="006C2F97"/>
    <w:rsid w:val="006C43BB"/>
    <w:rsid w:val="006C5B43"/>
    <w:rsid w:val="006C678B"/>
    <w:rsid w:val="006D09E3"/>
    <w:rsid w:val="006D4268"/>
    <w:rsid w:val="006D58CA"/>
    <w:rsid w:val="006D6E3A"/>
    <w:rsid w:val="006E6807"/>
    <w:rsid w:val="006F12A7"/>
    <w:rsid w:val="006F6C96"/>
    <w:rsid w:val="00700FE9"/>
    <w:rsid w:val="00711FE8"/>
    <w:rsid w:val="007164AA"/>
    <w:rsid w:val="00720656"/>
    <w:rsid w:val="0072325A"/>
    <w:rsid w:val="007336AD"/>
    <w:rsid w:val="00745579"/>
    <w:rsid w:val="00750B67"/>
    <w:rsid w:val="0075478A"/>
    <w:rsid w:val="00755B39"/>
    <w:rsid w:val="007622A0"/>
    <w:rsid w:val="00771F71"/>
    <w:rsid w:val="00777F4C"/>
    <w:rsid w:val="007813B6"/>
    <w:rsid w:val="00783E4E"/>
    <w:rsid w:val="0078408B"/>
    <w:rsid w:val="00787C3A"/>
    <w:rsid w:val="00791690"/>
    <w:rsid w:val="00792FAE"/>
    <w:rsid w:val="007A20FA"/>
    <w:rsid w:val="007B1653"/>
    <w:rsid w:val="007B2CD5"/>
    <w:rsid w:val="007C543A"/>
    <w:rsid w:val="007D0497"/>
    <w:rsid w:val="007D6489"/>
    <w:rsid w:val="007D7246"/>
    <w:rsid w:val="007E305C"/>
    <w:rsid w:val="007E6CF9"/>
    <w:rsid w:val="007F488E"/>
    <w:rsid w:val="00801532"/>
    <w:rsid w:val="008057CA"/>
    <w:rsid w:val="008100C5"/>
    <w:rsid w:val="00810289"/>
    <w:rsid w:val="00810B5D"/>
    <w:rsid w:val="00811CB6"/>
    <w:rsid w:val="00812B86"/>
    <w:rsid w:val="00817C9A"/>
    <w:rsid w:val="00823A81"/>
    <w:rsid w:val="00824232"/>
    <w:rsid w:val="00841F82"/>
    <w:rsid w:val="00850A66"/>
    <w:rsid w:val="008540CD"/>
    <w:rsid w:val="00856383"/>
    <w:rsid w:val="00857779"/>
    <w:rsid w:val="00863CCA"/>
    <w:rsid w:val="008642A6"/>
    <w:rsid w:val="00872833"/>
    <w:rsid w:val="00873045"/>
    <w:rsid w:val="008731E1"/>
    <w:rsid w:val="00880766"/>
    <w:rsid w:val="00883154"/>
    <w:rsid w:val="00884D8F"/>
    <w:rsid w:val="00891FC4"/>
    <w:rsid w:val="00893B75"/>
    <w:rsid w:val="0089667C"/>
    <w:rsid w:val="008A404C"/>
    <w:rsid w:val="008A6AA5"/>
    <w:rsid w:val="008A7BC3"/>
    <w:rsid w:val="008B154C"/>
    <w:rsid w:val="008B659A"/>
    <w:rsid w:val="008C3DEE"/>
    <w:rsid w:val="008C45CC"/>
    <w:rsid w:val="008C4DF1"/>
    <w:rsid w:val="008C72D0"/>
    <w:rsid w:val="008D2A74"/>
    <w:rsid w:val="008D3D65"/>
    <w:rsid w:val="008D4420"/>
    <w:rsid w:val="008E0FF6"/>
    <w:rsid w:val="008E617A"/>
    <w:rsid w:val="008F1250"/>
    <w:rsid w:val="00900711"/>
    <w:rsid w:val="00901594"/>
    <w:rsid w:val="0090498D"/>
    <w:rsid w:val="00913999"/>
    <w:rsid w:val="00916B14"/>
    <w:rsid w:val="00916B64"/>
    <w:rsid w:val="00923BB0"/>
    <w:rsid w:val="0092478A"/>
    <w:rsid w:val="00926B37"/>
    <w:rsid w:val="00935431"/>
    <w:rsid w:val="00941D48"/>
    <w:rsid w:val="00942389"/>
    <w:rsid w:val="00942837"/>
    <w:rsid w:val="009435DF"/>
    <w:rsid w:val="00945CD3"/>
    <w:rsid w:val="00956C53"/>
    <w:rsid w:val="00964135"/>
    <w:rsid w:val="00992294"/>
    <w:rsid w:val="00996DA3"/>
    <w:rsid w:val="009A083C"/>
    <w:rsid w:val="009A2617"/>
    <w:rsid w:val="009C4F4D"/>
    <w:rsid w:val="009F0061"/>
    <w:rsid w:val="009F37DE"/>
    <w:rsid w:val="009F41B4"/>
    <w:rsid w:val="009F4910"/>
    <w:rsid w:val="00A0467F"/>
    <w:rsid w:val="00A04690"/>
    <w:rsid w:val="00A20700"/>
    <w:rsid w:val="00A23F82"/>
    <w:rsid w:val="00A26EC3"/>
    <w:rsid w:val="00A35258"/>
    <w:rsid w:val="00A359C4"/>
    <w:rsid w:val="00A42239"/>
    <w:rsid w:val="00A549E7"/>
    <w:rsid w:val="00A55ABE"/>
    <w:rsid w:val="00A62542"/>
    <w:rsid w:val="00A67815"/>
    <w:rsid w:val="00A712C0"/>
    <w:rsid w:val="00A726B6"/>
    <w:rsid w:val="00A73D96"/>
    <w:rsid w:val="00A7773E"/>
    <w:rsid w:val="00A92081"/>
    <w:rsid w:val="00A942B5"/>
    <w:rsid w:val="00A951AC"/>
    <w:rsid w:val="00AA026A"/>
    <w:rsid w:val="00AB656C"/>
    <w:rsid w:val="00AC2530"/>
    <w:rsid w:val="00AC3CEF"/>
    <w:rsid w:val="00AC442A"/>
    <w:rsid w:val="00AD282C"/>
    <w:rsid w:val="00AD2E2C"/>
    <w:rsid w:val="00AD37D2"/>
    <w:rsid w:val="00AE0026"/>
    <w:rsid w:val="00AE2972"/>
    <w:rsid w:val="00AE6CD1"/>
    <w:rsid w:val="00AE7EBE"/>
    <w:rsid w:val="00AF4AED"/>
    <w:rsid w:val="00AF7038"/>
    <w:rsid w:val="00AF7CAC"/>
    <w:rsid w:val="00B1229A"/>
    <w:rsid w:val="00B156B3"/>
    <w:rsid w:val="00B161FD"/>
    <w:rsid w:val="00B229EF"/>
    <w:rsid w:val="00B2326D"/>
    <w:rsid w:val="00B2604C"/>
    <w:rsid w:val="00B30ACC"/>
    <w:rsid w:val="00B427EE"/>
    <w:rsid w:val="00B553FB"/>
    <w:rsid w:val="00B55476"/>
    <w:rsid w:val="00B658DF"/>
    <w:rsid w:val="00B70E29"/>
    <w:rsid w:val="00B7698E"/>
    <w:rsid w:val="00B834A4"/>
    <w:rsid w:val="00B86BBA"/>
    <w:rsid w:val="00B90EA4"/>
    <w:rsid w:val="00BA02C9"/>
    <w:rsid w:val="00BA0E48"/>
    <w:rsid w:val="00BA1332"/>
    <w:rsid w:val="00BA2469"/>
    <w:rsid w:val="00BA53FA"/>
    <w:rsid w:val="00BA5623"/>
    <w:rsid w:val="00BB0A78"/>
    <w:rsid w:val="00BB270C"/>
    <w:rsid w:val="00BC0E61"/>
    <w:rsid w:val="00BC43D7"/>
    <w:rsid w:val="00BC4B49"/>
    <w:rsid w:val="00BC62CE"/>
    <w:rsid w:val="00BD080C"/>
    <w:rsid w:val="00BD41D7"/>
    <w:rsid w:val="00BD4404"/>
    <w:rsid w:val="00BE446E"/>
    <w:rsid w:val="00BF2A5B"/>
    <w:rsid w:val="00BF5C1C"/>
    <w:rsid w:val="00BF7258"/>
    <w:rsid w:val="00C01577"/>
    <w:rsid w:val="00C040DF"/>
    <w:rsid w:val="00C0752A"/>
    <w:rsid w:val="00C10EE9"/>
    <w:rsid w:val="00C3190E"/>
    <w:rsid w:val="00C47581"/>
    <w:rsid w:val="00C527D0"/>
    <w:rsid w:val="00C52A46"/>
    <w:rsid w:val="00C61107"/>
    <w:rsid w:val="00C63B1C"/>
    <w:rsid w:val="00C63F2E"/>
    <w:rsid w:val="00C71145"/>
    <w:rsid w:val="00C7138D"/>
    <w:rsid w:val="00C7196F"/>
    <w:rsid w:val="00C71EA4"/>
    <w:rsid w:val="00C755C7"/>
    <w:rsid w:val="00C768B4"/>
    <w:rsid w:val="00C82987"/>
    <w:rsid w:val="00C833E5"/>
    <w:rsid w:val="00C86F12"/>
    <w:rsid w:val="00C8749E"/>
    <w:rsid w:val="00C936E7"/>
    <w:rsid w:val="00C95D57"/>
    <w:rsid w:val="00C97396"/>
    <w:rsid w:val="00CA07CA"/>
    <w:rsid w:val="00CA440F"/>
    <w:rsid w:val="00CA7067"/>
    <w:rsid w:val="00CB798D"/>
    <w:rsid w:val="00CD00E4"/>
    <w:rsid w:val="00CD7D20"/>
    <w:rsid w:val="00CE386B"/>
    <w:rsid w:val="00CE6581"/>
    <w:rsid w:val="00D00625"/>
    <w:rsid w:val="00D100F4"/>
    <w:rsid w:val="00D139EC"/>
    <w:rsid w:val="00D236AB"/>
    <w:rsid w:val="00D24962"/>
    <w:rsid w:val="00D24F76"/>
    <w:rsid w:val="00D30B25"/>
    <w:rsid w:val="00D30C7E"/>
    <w:rsid w:val="00D3490F"/>
    <w:rsid w:val="00D37E1A"/>
    <w:rsid w:val="00D42957"/>
    <w:rsid w:val="00D42D62"/>
    <w:rsid w:val="00D448AB"/>
    <w:rsid w:val="00D468DD"/>
    <w:rsid w:val="00D54ABE"/>
    <w:rsid w:val="00D56D24"/>
    <w:rsid w:val="00D56D6E"/>
    <w:rsid w:val="00D60798"/>
    <w:rsid w:val="00D608D9"/>
    <w:rsid w:val="00D643C2"/>
    <w:rsid w:val="00D65480"/>
    <w:rsid w:val="00D66B3A"/>
    <w:rsid w:val="00D6758F"/>
    <w:rsid w:val="00D71F91"/>
    <w:rsid w:val="00D8449A"/>
    <w:rsid w:val="00D857DE"/>
    <w:rsid w:val="00D9692D"/>
    <w:rsid w:val="00D969F9"/>
    <w:rsid w:val="00D973C7"/>
    <w:rsid w:val="00DA26A4"/>
    <w:rsid w:val="00DA6D57"/>
    <w:rsid w:val="00DA726C"/>
    <w:rsid w:val="00DB0012"/>
    <w:rsid w:val="00DB0A73"/>
    <w:rsid w:val="00DB1184"/>
    <w:rsid w:val="00DD2BE9"/>
    <w:rsid w:val="00DD3867"/>
    <w:rsid w:val="00DE3CCE"/>
    <w:rsid w:val="00DE797A"/>
    <w:rsid w:val="00DF18E4"/>
    <w:rsid w:val="00DF2CCB"/>
    <w:rsid w:val="00DF56E0"/>
    <w:rsid w:val="00DF5FE4"/>
    <w:rsid w:val="00E0033E"/>
    <w:rsid w:val="00E0496E"/>
    <w:rsid w:val="00E078EC"/>
    <w:rsid w:val="00E1682F"/>
    <w:rsid w:val="00E203CA"/>
    <w:rsid w:val="00E222A3"/>
    <w:rsid w:val="00E23980"/>
    <w:rsid w:val="00E24C32"/>
    <w:rsid w:val="00E30790"/>
    <w:rsid w:val="00E34A2F"/>
    <w:rsid w:val="00E41222"/>
    <w:rsid w:val="00E445E9"/>
    <w:rsid w:val="00E567BF"/>
    <w:rsid w:val="00E678D3"/>
    <w:rsid w:val="00E67DDF"/>
    <w:rsid w:val="00E7567A"/>
    <w:rsid w:val="00E80555"/>
    <w:rsid w:val="00E81E7C"/>
    <w:rsid w:val="00E82433"/>
    <w:rsid w:val="00EA3F33"/>
    <w:rsid w:val="00EB2369"/>
    <w:rsid w:val="00EB624B"/>
    <w:rsid w:val="00ED609A"/>
    <w:rsid w:val="00ED7552"/>
    <w:rsid w:val="00EF4203"/>
    <w:rsid w:val="00EF7FB5"/>
    <w:rsid w:val="00F00E54"/>
    <w:rsid w:val="00F035A9"/>
    <w:rsid w:val="00F10D87"/>
    <w:rsid w:val="00F11C7B"/>
    <w:rsid w:val="00F12E41"/>
    <w:rsid w:val="00F21EA4"/>
    <w:rsid w:val="00F23158"/>
    <w:rsid w:val="00F24B9B"/>
    <w:rsid w:val="00F255FF"/>
    <w:rsid w:val="00F301A3"/>
    <w:rsid w:val="00F40060"/>
    <w:rsid w:val="00F41919"/>
    <w:rsid w:val="00F45B97"/>
    <w:rsid w:val="00F5081F"/>
    <w:rsid w:val="00F5148A"/>
    <w:rsid w:val="00F6278A"/>
    <w:rsid w:val="00F67E6D"/>
    <w:rsid w:val="00F75207"/>
    <w:rsid w:val="00F80227"/>
    <w:rsid w:val="00F81590"/>
    <w:rsid w:val="00F8243A"/>
    <w:rsid w:val="00FA48C2"/>
    <w:rsid w:val="00FA4920"/>
    <w:rsid w:val="00FA494D"/>
    <w:rsid w:val="00FA695C"/>
    <w:rsid w:val="00FB2A59"/>
    <w:rsid w:val="00FB4E01"/>
    <w:rsid w:val="00FB522E"/>
    <w:rsid w:val="00FC46A0"/>
    <w:rsid w:val="00FD13CF"/>
    <w:rsid w:val="00FE023B"/>
    <w:rsid w:val="00FE17CC"/>
    <w:rsid w:val="00FE3C6D"/>
    <w:rsid w:val="00FE4395"/>
    <w:rsid w:val="01750152"/>
    <w:rsid w:val="0A7A1235"/>
    <w:rsid w:val="0C8D255F"/>
    <w:rsid w:val="108E6E98"/>
    <w:rsid w:val="118570BE"/>
    <w:rsid w:val="137F6895"/>
    <w:rsid w:val="1513690F"/>
    <w:rsid w:val="16830782"/>
    <w:rsid w:val="175629E5"/>
    <w:rsid w:val="185D1307"/>
    <w:rsid w:val="1B761CF2"/>
    <w:rsid w:val="1EB64C72"/>
    <w:rsid w:val="1FE64C70"/>
    <w:rsid w:val="22BE094A"/>
    <w:rsid w:val="23172C5A"/>
    <w:rsid w:val="27591218"/>
    <w:rsid w:val="2B586893"/>
    <w:rsid w:val="2BFD1938"/>
    <w:rsid w:val="2CB021A6"/>
    <w:rsid w:val="30474804"/>
    <w:rsid w:val="35CD0A3C"/>
    <w:rsid w:val="366F2ABC"/>
    <w:rsid w:val="386534CA"/>
    <w:rsid w:val="38C509AC"/>
    <w:rsid w:val="39D569DC"/>
    <w:rsid w:val="39E925A7"/>
    <w:rsid w:val="3AB0774F"/>
    <w:rsid w:val="3FC04C2B"/>
    <w:rsid w:val="3FC42916"/>
    <w:rsid w:val="3FE10DFA"/>
    <w:rsid w:val="4118737F"/>
    <w:rsid w:val="41B161BF"/>
    <w:rsid w:val="42446123"/>
    <w:rsid w:val="431D4020"/>
    <w:rsid w:val="445C61CD"/>
    <w:rsid w:val="491E62E2"/>
    <w:rsid w:val="4AD52510"/>
    <w:rsid w:val="4B964B48"/>
    <w:rsid w:val="4C360603"/>
    <w:rsid w:val="520027B4"/>
    <w:rsid w:val="524D2C93"/>
    <w:rsid w:val="52B371FC"/>
    <w:rsid w:val="53B96786"/>
    <w:rsid w:val="54E95FD3"/>
    <w:rsid w:val="559C0E01"/>
    <w:rsid w:val="55CF5008"/>
    <w:rsid w:val="586D1210"/>
    <w:rsid w:val="5A2E2DD0"/>
    <w:rsid w:val="5C036210"/>
    <w:rsid w:val="5F0977F9"/>
    <w:rsid w:val="628132A8"/>
    <w:rsid w:val="640F41CA"/>
    <w:rsid w:val="65522BF8"/>
    <w:rsid w:val="68361F26"/>
    <w:rsid w:val="6B074FAD"/>
    <w:rsid w:val="6BCE428B"/>
    <w:rsid w:val="6CFD36A2"/>
    <w:rsid w:val="6FD30455"/>
    <w:rsid w:val="704275FD"/>
    <w:rsid w:val="72723B2D"/>
    <w:rsid w:val="7380632B"/>
    <w:rsid w:val="78CE03D8"/>
    <w:rsid w:val="7A807CC0"/>
    <w:rsid w:val="7AA32838"/>
    <w:rsid w:val="7B346D65"/>
    <w:rsid w:val="7C613B24"/>
    <w:rsid w:val="7E450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nhideWhenUsed/>
    <w:qFormat/>
    <w:uiPriority w:val="39"/>
  </w:style>
  <w:style w:type="paragraph" w:styleId="8">
    <w:name w:val="toc 2"/>
    <w:basedOn w:val="1"/>
    <w:next w:val="1"/>
    <w:semiHidden/>
    <w:unhideWhenUsed/>
    <w:qFormat/>
    <w:uiPriority w:val="39"/>
    <w:pPr>
      <w:ind w:left="420" w:leftChars="200"/>
    </w:pPr>
  </w:style>
  <w:style w:type="paragraph" w:styleId="9">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semiHidden/>
    <w:unhideWhenUsed/>
    <w:qFormat/>
    <w:uiPriority w:val="99"/>
    <w:rPr>
      <w:color w:val="954F72" w:themeColor="followedHyperlink"/>
      <w:u w:val="single"/>
      <w14:textFill>
        <w14:solidFill>
          <w14:schemeClr w14:val="folHlink"/>
        </w14:solidFill>
      </w14:textFill>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页眉 字符"/>
    <w:basedOn w:val="12"/>
    <w:link w:val="6"/>
    <w:qFormat/>
    <w:uiPriority w:val="99"/>
    <w:rPr>
      <w:sz w:val="18"/>
      <w:szCs w:val="18"/>
    </w:rPr>
  </w:style>
  <w:style w:type="character" w:customStyle="1" w:styleId="16">
    <w:name w:val="页脚 字符"/>
    <w:basedOn w:val="12"/>
    <w:link w:val="5"/>
    <w:qFormat/>
    <w:uiPriority w:val="99"/>
    <w:rPr>
      <w:sz w:val="18"/>
      <w:szCs w:val="18"/>
    </w:rPr>
  </w:style>
  <w:style w:type="character" w:customStyle="1" w:styleId="17">
    <w:name w:val="标题 字符"/>
    <w:basedOn w:val="12"/>
    <w:link w:val="9"/>
    <w:qFormat/>
    <w:uiPriority w:val="10"/>
    <w:rPr>
      <w:rFonts w:eastAsia="宋体" w:asciiTheme="majorHAnsi" w:hAnsiTheme="majorHAnsi" w:cstheme="majorBidi"/>
      <w:b/>
      <w:bCs/>
      <w:sz w:val="32"/>
      <w:szCs w:val="32"/>
    </w:rPr>
  </w:style>
  <w:style w:type="character" w:customStyle="1" w:styleId="18">
    <w:name w:val="标题 1 字符"/>
    <w:basedOn w:val="12"/>
    <w:link w:val="2"/>
    <w:qFormat/>
    <w:uiPriority w:val="9"/>
    <w:rPr>
      <w:b/>
      <w:bCs/>
      <w:kern w:val="44"/>
      <w:sz w:val="44"/>
      <w:szCs w:val="44"/>
    </w:rPr>
  </w:style>
  <w:style w:type="paragraph" w:customStyle="1" w:styleId="19">
    <w:name w:val="列出段落1"/>
    <w:basedOn w:val="1"/>
    <w:qFormat/>
    <w:uiPriority w:val="34"/>
    <w:pPr>
      <w:ind w:firstLine="420" w:firstLineChars="200"/>
    </w:pPr>
  </w:style>
  <w:style w:type="character" w:customStyle="1" w:styleId="20">
    <w:name w:val="标题 2 字符"/>
    <w:basedOn w:val="12"/>
    <w:link w:val="3"/>
    <w:qFormat/>
    <w:uiPriority w:val="9"/>
    <w:rPr>
      <w:rFonts w:asciiTheme="majorHAnsi" w:hAnsiTheme="majorHAnsi" w:eastAsiaTheme="majorEastAsia" w:cstheme="majorBidi"/>
      <w:b/>
      <w:bCs/>
      <w:sz w:val="32"/>
      <w:szCs w:val="32"/>
    </w:rPr>
  </w:style>
  <w:style w:type="paragraph" w:customStyle="1" w:styleId="21">
    <w:name w:val="段"/>
    <w:link w:val="2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段 Char"/>
    <w:link w:val="21"/>
    <w:qFormat/>
    <w:uiPriority w:val="0"/>
    <w:rPr>
      <w:rFonts w:ascii="宋体" w:hAnsi="Times New Roman" w:eastAsia="宋体" w:cs="Times New Roman"/>
      <w:kern w:val="0"/>
      <w:szCs w:val="20"/>
    </w:rPr>
  </w:style>
  <w:style w:type="paragraph" w:customStyle="1" w:styleId="23">
    <w:name w:val="列出段落2"/>
    <w:basedOn w:val="1"/>
    <w:qFormat/>
    <w:uiPriority w:val="99"/>
    <w:pPr>
      <w:ind w:firstLine="420" w:firstLineChars="200"/>
    </w:pPr>
  </w:style>
  <w:style w:type="paragraph" w:customStyle="1" w:styleId="24">
    <w:name w:val="一级条标题"/>
    <w:next w:val="21"/>
    <w:link w:val="29"/>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5">
    <w:name w:val="章标题"/>
    <w:next w:val="2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
    <w:name w:val="二级条标题"/>
    <w:basedOn w:val="24"/>
    <w:next w:val="21"/>
    <w:link w:val="28"/>
    <w:qFormat/>
    <w:uiPriority w:val="0"/>
    <w:pPr>
      <w:numPr>
        <w:ilvl w:val="2"/>
      </w:numPr>
      <w:tabs>
        <w:tab w:val="left" w:pos="360"/>
      </w:tabs>
      <w:spacing w:before="50" w:after="50"/>
      <w:outlineLvl w:val="3"/>
    </w:pPr>
  </w:style>
  <w:style w:type="paragraph" w:customStyle="1" w:styleId="27">
    <w:name w:val="三级条标题"/>
    <w:basedOn w:val="26"/>
    <w:next w:val="21"/>
    <w:qFormat/>
    <w:uiPriority w:val="0"/>
    <w:pPr>
      <w:numPr>
        <w:ilvl w:val="3"/>
      </w:numPr>
      <w:outlineLvl w:val="4"/>
    </w:pPr>
  </w:style>
  <w:style w:type="character" w:customStyle="1" w:styleId="28">
    <w:name w:val="二级条标题 Char Char"/>
    <w:link w:val="26"/>
    <w:qFormat/>
    <w:uiPriority w:val="0"/>
    <w:rPr>
      <w:rFonts w:ascii="黑体" w:hAnsi="Times New Roman" w:eastAsia="黑体" w:cs="Times New Roman"/>
      <w:sz w:val="21"/>
      <w:szCs w:val="21"/>
    </w:rPr>
  </w:style>
  <w:style w:type="character" w:customStyle="1" w:styleId="29">
    <w:name w:val="一级条标题 Char Char"/>
    <w:link w:val="24"/>
    <w:qFormat/>
    <w:uiPriority w:val="0"/>
    <w:rPr>
      <w:rFonts w:ascii="黑体" w:hAnsi="Times New Roman" w:eastAsia="黑体" w:cs="Times New Roman"/>
      <w:sz w:val="21"/>
      <w:szCs w:val="21"/>
    </w:rPr>
  </w:style>
  <w:style w:type="paragraph" w:styleId="30">
    <w:name w:val="List Paragraph"/>
    <w:basedOn w:val="1"/>
    <w:qFormat/>
    <w:uiPriority w:val="99"/>
    <w:pPr>
      <w:ind w:firstLine="420" w:firstLineChars="200"/>
    </w:pPr>
  </w:style>
  <w:style w:type="paragraph" w:customStyle="1" w:styleId="3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3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1235</Words>
  <Characters>7040</Characters>
  <Lines>58</Lines>
  <Paragraphs>16</Paragraphs>
  <TotalTime>54</TotalTime>
  <ScaleCrop>false</ScaleCrop>
  <LinksUpToDate>false</LinksUpToDate>
  <CharactersWithSpaces>8259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2022-06-21T02:50:00Z</dcterms:created>
  <dc:creator>ZQY</dc:creator>
  <cp:lastModifiedBy>Jiage Chen</cp:lastModifiedBy>
  <cp:lastPrinted>2017-03-20T07:48:00Z</cp:lastPrinted>
  <dcterms:modified xsi:type="dcterms:W3CDTF">2024-02-01T03:51:32Z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2F3B8E9594954E76B93BB5B978BE78C6</vt:lpwstr>
  </property>
</Properties>
</file>